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88964A">
      <w:pPr>
        <w:spacing w:line="600" w:lineRule="exact"/>
        <w:jc w:val="center"/>
        <w:rPr>
          <w:rFonts w:hint="eastAsia" w:ascii="方正小标宋简体" w:hAnsi="方正小标宋简体" w:eastAsia="方正小标宋简体"/>
          <w:sz w:val="44"/>
          <w:szCs w:val="44"/>
          <w:lang w:eastAsia="zh-CN"/>
        </w:rPr>
      </w:pPr>
      <w:bookmarkStart w:id="0" w:name="_Toc193733620"/>
      <w:r>
        <w:rPr>
          <w:rFonts w:hint="eastAsia" w:ascii="方正小标宋简体" w:hAnsi="方正小标宋简体" w:eastAsia="方正小标宋简体"/>
          <w:sz w:val="44"/>
          <w:szCs w:val="44"/>
        </w:rPr>
        <w:t>关于进一步加强农村产权流转交易市场建设的实施意见</w:t>
      </w:r>
      <w:r>
        <w:rPr>
          <w:rFonts w:hint="eastAsia" w:ascii="方正小标宋简体" w:hAnsi="方正小标宋简体" w:eastAsia="方正小标宋简体"/>
          <w:sz w:val="44"/>
          <w:szCs w:val="44"/>
          <w:lang w:eastAsia="zh-CN"/>
        </w:rPr>
        <w:t>（</w:t>
      </w:r>
      <w:r>
        <w:rPr>
          <w:rFonts w:hint="eastAsia" w:ascii="方正小标宋简体" w:hAnsi="方正小标宋简体" w:eastAsia="方正小标宋简体"/>
          <w:sz w:val="44"/>
          <w:szCs w:val="44"/>
          <w:lang w:val="en-US" w:eastAsia="zh-CN"/>
        </w:rPr>
        <w:t>征求意见稿</w:t>
      </w:r>
      <w:r>
        <w:rPr>
          <w:rFonts w:hint="eastAsia" w:ascii="方正小标宋简体" w:hAnsi="方正小标宋简体" w:eastAsia="方正小标宋简体"/>
          <w:sz w:val="44"/>
          <w:szCs w:val="44"/>
          <w:lang w:eastAsia="zh-CN"/>
        </w:rPr>
        <w:t>）</w:t>
      </w:r>
    </w:p>
    <w:p w14:paraId="533E5243">
      <w:pPr>
        <w:spacing w:line="600" w:lineRule="exact"/>
        <w:ind w:firstLine="595" w:firstLineChars="186"/>
        <w:rPr>
          <w:rFonts w:ascii="宋体" w:hAnsi="宋体" w:eastAsia="仿宋_GB2312"/>
          <w:sz w:val="32"/>
          <w:szCs w:val="32"/>
        </w:rPr>
      </w:pPr>
      <w:bookmarkStart w:id="6" w:name="_GoBack"/>
      <w:bookmarkEnd w:id="6"/>
    </w:p>
    <w:p w14:paraId="775EEABE">
      <w:pPr>
        <w:spacing w:line="600" w:lineRule="exact"/>
        <w:ind w:firstLine="595" w:firstLineChars="186"/>
        <w:rPr>
          <w:rFonts w:ascii="宋体" w:hAnsi="宋体" w:eastAsia="仿宋_GB2312"/>
          <w:sz w:val="32"/>
          <w:szCs w:val="32"/>
        </w:rPr>
      </w:pPr>
      <w:r>
        <w:rPr>
          <w:rFonts w:hint="eastAsia" w:ascii="宋体" w:hAnsi="宋体" w:eastAsia="仿宋_GB2312"/>
          <w:sz w:val="32"/>
          <w:szCs w:val="32"/>
        </w:rPr>
        <w:t>为进一步规范农村产权流转交易行为，保障交易主体合法权益，畅通城乡要素流动，激活农村资源要素潜能，助力乡村全面振兴，根据国务院办公厅《</w:t>
      </w:r>
      <w:bookmarkStart w:id="1" w:name="OLE_LINK3"/>
      <w:r>
        <w:rPr>
          <w:rFonts w:hint="eastAsia" w:ascii="宋体" w:hAnsi="宋体" w:eastAsia="仿宋_GB2312"/>
          <w:sz w:val="32"/>
          <w:szCs w:val="32"/>
        </w:rPr>
        <w:t>关于引导农村产权流转交易市场健康发展的意见</w:t>
      </w:r>
      <w:bookmarkEnd w:id="1"/>
      <w:r>
        <w:rPr>
          <w:rFonts w:hint="eastAsia" w:ascii="宋体" w:hAnsi="宋体" w:eastAsia="仿宋_GB2312"/>
          <w:sz w:val="32"/>
          <w:szCs w:val="32"/>
        </w:rPr>
        <w:t>》、农业农村部等</w:t>
      </w:r>
      <w:r>
        <w:rPr>
          <w:rFonts w:ascii="Times New Roman" w:hAnsi="Times New Roman" w:eastAsia="仿宋_GB2312"/>
          <w:sz w:val="32"/>
          <w:szCs w:val="32"/>
        </w:rPr>
        <w:t>11</w:t>
      </w:r>
      <w:r>
        <w:rPr>
          <w:rFonts w:hint="eastAsia" w:ascii="宋体" w:hAnsi="宋体" w:eastAsia="仿宋_GB2312"/>
          <w:sz w:val="32"/>
          <w:szCs w:val="32"/>
        </w:rPr>
        <w:t>部委《农村产权流转交易规范化试点工作方案》、山东省农业农村厅《关于农村产权流转交易规范化建设的指导意见》等文件精神，结合我市实际，现就健全全市农村产权流转交易市场体系，提出如下实施意见。</w:t>
      </w:r>
    </w:p>
    <w:p w14:paraId="25DB5520">
      <w:pPr>
        <w:spacing w:line="600" w:lineRule="exact"/>
        <w:ind w:firstLine="595" w:firstLineChars="186"/>
        <w:rPr>
          <w:rFonts w:ascii="黑体" w:hAnsi="黑体" w:eastAsia="黑体"/>
          <w:sz w:val="32"/>
          <w:szCs w:val="32"/>
        </w:rPr>
      </w:pPr>
      <w:r>
        <w:rPr>
          <w:rFonts w:hint="eastAsia" w:ascii="黑体" w:hAnsi="黑体" w:eastAsia="黑体"/>
          <w:sz w:val="32"/>
          <w:szCs w:val="32"/>
        </w:rPr>
        <w:t>一、总体要求</w:t>
      </w:r>
    </w:p>
    <w:bookmarkEnd w:id="0"/>
    <w:p w14:paraId="084DE314">
      <w:pPr>
        <w:spacing w:line="600" w:lineRule="exact"/>
        <w:ind w:firstLine="595" w:firstLineChars="186"/>
        <w:rPr>
          <w:rFonts w:ascii="宋体" w:hAnsi="宋体" w:eastAsia="仿宋_GB2312"/>
          <w:sz w:val="32"/>
          <w:szCs w:val="32"/>
        </w:rPr>
      </w:pPr>
      <w:r>
        <w:rPr>
          <w:rFonts w:hint="eastAsia" w:ascii="宋体" w:hAnsi="宋体" w:eastAsia="仿宋_GB2312"/>
          <w:sz w:val="32"/>
          <w:szCs w:val="32"/>
        </w:rPr>
        <w:t>以习近平新时代中国特色社会主义思想为指导，坚持“立农为农、公平公正，政府主导、市场运作，因地制宜、积极稳妥，系统集成、协同高效”原则，以巩固和完善农村基本经营制度为前提，以保障和实现农民更加充分的财产权益为根本，以规范流转交易行为和完善服务功能为重点，探索健全交易体系、完善交易规则、加强风险防控、强化监督管理的有效路径，构建起比较健全的农村产权流转交易体系和符合行业发展特点的监管机制，形成一套覆盖主要交易品种的标准化交易规则, 促进全市农村产权流转交易规范化和高质量发展水平显著提升。</w:t>
      </w:r>
    </w:p>
    <w:p w14:paraId="4E55F096">
      <w:pPr>
        <w:spacing w:line="600" w:lineRule="exact"/>
        <w:ind w:firstLine="595" w:firstLineChars="186"/>
        <w:rPr>
          <w:rFonts w:ascii="黑体" w:hAnsi="黑体" w:eastAsia="黑体"/>
          <w:sz w:val="32"/>
          <w:szCs w:val="32"/>
        </w:rPr>
      </w:pPr>
      <w:r>
        <w:rPr>
          <w:rFonts w:hint="eastAsia" w:ascii="黑体" w:hAnsi="黑体" w:eastAsia="黑体"/>
          <w:sz w:val="32"/>
          <w:szCs w:val="32"/>
        </w:rPr>
        <w:t xml:space="preserve"> 二、重点任务</w:t>
      </w:r>
    </w:p>
    <w:p w14:paraId="56072409">
      <w:pPr>
        <w:spacing w:line="600" w:lineRule="exact"/>
        <w:ind w:firstLine="595" w:firstLineChars="186"/>
        <w:rPr>
          <w:rFonts w:ascii="楷体_GB2312" w:hAnsi="宋体" w:eastAsia="楷体_GB2312"/>
          <w:color w:val="000000" w:themeColor="text1"/>
          <w:sz w:val="32"/>
          <w:szCs w:val="32"/>
          <w14:textFill>
            <w14:solidFill>
              <w14:schemeClr w14:val="tx1"/>
            </w14:solidFill>
          </w14:textFill>
        </w:rPr>
      </w:pPr>
      <w:r>
        <w:rPr>
          <w:rFonts w:hint="eastAsia" w:ascii="楷体_GB2312" w:hAnsi="宋体" w:eastAsia="楷体_GB2312"/>
          <w:color w:val="000000" w:themeColor="text1"/>
          <w:sz w:val="32"/>
          <w:szCs w:val="32"/>
          <w14:textFill>
            <w14:solidFill>
              <w14:schemeClr w14:val="tx1"/>
            </w14:solidFill>
          </w14:textFill>
        </w:rPr>
        <w:t>（一）健全交易体系，增强基础支撑</w:t>
      </w:r>
    </w:p>
    <w:p w14:paraId="6789A50C">
      <w:pPr>
        <w:spacing w:line="600" w:lineRule="exact"/>
        <w:ind w:firstLine="595" w:firstLineChars="186"/>
        <w:rPr>
          <w:rFonts w:ascii="宋体" w:hAnsi="宋体" w:eastAsia="仿宋_GB2312"/>
          <w:sz w:val="32"/>
          <w:szCs w:val="32"/>
        </w:rPr>
      </w:pPr>
      <w:r>
        <w:rPr>
          <w:rFonts w:ascii="Times New Roman" w:hAnsi="Times New Roman" w:eastAsia="仿宋_GB2312"/>
          <w:sz w:val="32"/>
          <w:szCs w:val="32"/>
        </w:rPr>
        <w:t>1</w:t>
      </w:r>
      <w:r>
        <w:rPr>
          <w:rFonts w:hint="eastAsia" w:ascii="宋体" w:hAnsi="宋体" w:eastAsia="仿宋_GB2312"/>
          <w:sz w:val="32"/>
          <w:szCs w:val="32"/>
        </w:rPr>
        <w:t>.健全组织架构。统筹利用现有交易服务机构，健全“市—区县—镇（街道）—村（社区）”四级交易组织架构，形成上下协同、权责清晰的运行机制。济南农业发展集团抓好市级农村产权交易市场运营业务，建立济南市农村产权交易中心（以下简称“市农交中心”）。</w:t>
      </w:r>
    </w:p>
    <w:p w14:paraId="5B139599">
      <w:pPr>
        <w:spacing w:line="600" w:lineRule="exact"/>
        <w:ind w:firstLine="595" w:firstLineChars="186"/>
        <w:rPr>
          <w:rFonts w:ascii="宋体" w:hAnsi="宋体" w:eastAsia="仿宋_GB2312"/>
          <w:sz w:val="32"/>
          <w:szCs w:val="32"/>
        </w:rPr>
      </w:pPr>
      <w:r>
        <w:rPr>
          <w:rFonts w:ascii="Times New Roman" w:hAnsi="Times New Roman" w:eastAsia="仿宋_GB2312"/>
          <w:sz w:val="32"/>
          <w:szCs w:val="32"/>
        </w:rPr>
        <w:t>2</w:t>
      </w:r>
      <w:r>
        <w:rPr>
          <w:rFonts w:hint="eastAsia" w:ascii="宋体" w:hAnsi="宋体" w:eastAsia="仿宋_GB2312"/>
          <w:sz w:val="32"/>
          <w:szCs w:val="32"/>
        </w:rPr>
        <w:t>.明确运行职责。市农交中心、各区县（含功能区，下同）、镇（街道）均可组织交易，进行交易鉴证。</w:t>
      </w:r>
    </w:p>
    <w:p w14:paraId="6EC45E47">
      <w:pPr>
        <w:spacing w:line="600" w:lineRule="exact"/>
        <w:ind w:firstLine="595" w:firstLineChars="186"/>
        <w:rPr>
          <w:rFonts w:ascii="宋体" w:hAnsi="宋体" w:eastAsia="仿宋_GB2312"/>
          <w:spacing w:val="-6"/>
          <w:sz w:val="32"/>
          <w:szCs w:val="32"/>
        </w:rPr>
      </w:pPr>
      <w:r>
        <w:rPr>
          <w:rFonts w:hint="eastAsia" w:ascii="宋体" w:hAnsi="宋体" w:eastAsia="仿宋_GB2312"/>
          <w:sz w:val="32"/>
          <w:szCs w:val="32"/>
        </w:rPr>
        <w:t>（1）</w:t>
      </w:r>
      <w:r>
        <w:rPr>
          <w:rFonts w:hint="eastAsia" w:ascii="宋体" w:hAnsi="宋体" w:eastAsia="仿宋_GB2312"/>
          <w:spacing w:val="-6"/>
          <w:sz w:val="32"/>
          <w:szCs w:val="32"/>
        </w:rPr>
        <w:t>市农交中心主要负责济南市农村产权流转交易平台（以下简称“市交易平台”）开发建设、运营维护、制度建设、政策指导和监督管理；健全统一信息系统、统一交易规则、统一交易鉴证、统一服务标准、统一交易结算、统一交易监管“六统一”运营机制；全市范围内产权交易信息发布，竞价交易，对区县、镇（街道）工作人员进行业务培训、指导等。</w:t>
      </w:r>
    </w:p>
    <w:p w14:paraId="42B22B16">
      <w:pPr>
        <w:spacing w:line="600" w:lineRule="exact"/>
        <w:ind w:firstLine="595" w:firstLineChars="186"/>
        <w:rPr>
          <w:rFonts w:ascii="宋体" w:hAnsi="宋体" w:eastAsia="仿宋_GB2312"/>
          <w:sz w:val="32"/>
          <w:szCs w:val="32"/>
        </w:rPr>
      </w:pPr>
      <w:r>
        <w:rPr>
          <w:rFonts w:hint="eastAsia" w:ascii="宋体" w:hAnsi="宋体" w:eastAsia="仿宋_GB2312"/>
          <w:sz w:val="32"/>
          <w:szCs w:val="32"/>
        </w:rPr>
        <w:t>（2）各区县在现有基础上完善本区县农村产权交易中心（以下简称“区县农交中心”）设施与条件，负责本行政区域内产权交易的业务审核、资料审查、政策咨询、监督管理、纠纷调解。</w:t>
      </w:r>
    </w:p>
    <w:p w14:paraId="6A154C11">
      <w:pPr>
        <w:spacing w:line="600" w:lineRule="exact"/>
        <w:ind w:firstLine="595" w:firstLineChars="186"/>
        <w:rPr>
          <w:rFonts w:ascii="宋体" w:hAnsi="宋体" w:eastAsia="仿宋_GB2312"/>
          <w:sz w:val="32"/>
          <w:szCs w:val="32"/>
        </w:rPr>
      </w:pPr>
      <w:r>
        <w:rPr>
          <w:rFonts w:hint="eastAsia" w:ascii="宋体" w:hAnsi="宋体" w:eastAsia="仿宋_GB2312"/>
          <w:sz w:val="32"/>
          <w:szCs w:val="32"/>
        </w:rPr>
        <w:t>（3）镇（街道）健全完善交易服务站，负责本区域内产权交易的信息收集汇总、业务审核、资料审查、登记录入、合同签订、归档备查、监督管理、纠纷调解以及对村（社区）的政策宣传和业务指导等。</w:t>
      </w:r>
    </w:p>
    <w:p w14:paraId="431D1D2A">
      <w:pPr>
        <w:spacing w:line="600" w:lineRule="exact"/>
        <w:ind w:firstLine="595" w:firstLineChars="186"/>
        <w:rPr>
          <w:rFonts w:ascii="宋体" w:hAnsi="宋体" w:eastAsia="仿宋_GB2312"/>
          <w:sz w:val="32"/>
          <w:szCs w:val="32"/>
        </w:rPr>
      </w:pPr>
      <w:r>
        <w:rPr>
          <w:rFonts w:hint="eastAsia" w:ascii="宋体" w:hAnsi="宋体" w:eastAsia="仿宋_GB2312"/>
          <w:sz w:val="32"/>
          <w:szCs w:val="32"/>
        </w:rPr>
        <w:t>（4）村（社区）设立交易服务点，负责现场勘察、信息收集、材料报送、政策宣传、纠纷调解，配合交易实施与履约、交易信息公示等。</w:t>
      </w:r>
    </w:p>
    <w:p w14:paraId="57783EBE">
      <w:pPr>
        <w:spacing w:line="600" w:lineRule="exact"/>
        <w:ind w:firstLine="595" w:firstLineChars="186"/>
        <w:rPr>
          <w:rFonts w:ascii="宋体" w:hAnsi="宋体" w:eastAsia="仿宋_GB2312"/>
          <w:sz w:val="32"/>
          <w:szCs w:val="32"/>
        </w:rPr>
      </w:pPr>
      <w:r>
        <w:rPr>
          <w:rFonts w:hint="eastAsia" w:ascii="Times New Roman" w:hAnsi="Times New Roman" w:eastAsia="仿宋_GB2312"/>
          <w:sz w:val="32"/>
          <w:szCs w:val="32"/>
        </w:rPr>
        <w:t>3.做好</w:t>
      </w:r>
      <w:r>
        <w:rPr>
          <w:rFonts w:hint="eastAsia" w:ascii="宋体" w:hAnsi="宋体" w:eastAsia="仿宋_GB2312"/>
          <w:color w:val="000000" w:themeColor="text1"/>
          <w:sz w:val="32"/>
          <w:szCs w:val="32"/>
          <w14:textFill>
            <w14:solidFill>
              <w14:schemeClr w14:val="tx1"/>
            </w14:solidFill>
          </w14:textFill>
        </w:rPr>
        <w:t>平台互联。市交易平台提供全市农村产权交易的项目挂牌、线上审核、网上竞价、信息公示等服务，并将交易数据推送至</w:t>
      </w:r>
      <w:r>
        <w:rPr>
          <w:rFonts w:hint="eastAsia" w:ascii="宋体" w:hAnsi="宋体" w:eastAsia="仿宋_GB2312"/>
          <w:sz w:val="32"/>
          <w:szCs w:val="32"/>
        </w:rPr>
        <w:t>济南市农村产权交易信息平台（以下简称“市信息平台”）；市信息平台将全市农村产权流转交易数据统一推送至济南市公共资源交易平台。</w:t>
      </w:r>
    </w:p>
    <w:p w14:paraId="59D54508">
      <w:pPr>
        <w:spacing w:line="600" w:lineRule="exact"/>
        <w:ind w:firstLine="572" w:firstLineChars="186"/>
        <w:rPr>
          <w:rFonts w:ascii="宋体" w:hAnsi="宋体" w:eastAsia="仿宋_GB2312"/>
          <w:spacing w:val="-6"/>
          <w:sz w:val="32"/>
          <w:szCs w:val="32"/>
        </w:rPr>
      </w:pPr>
      <w:r>
        <w:rPr>
          <w:rFonts w:hint="eastAsia" w:ascii="宋体" w:hAnsi="宋体" w:eastAsia="仿宋_GB2312"/>
          <w:color w:val="000000" w:themeColor="text1"/>
          <w:spacing w:val="-6"/>
          <w:sz w:val="32"/>
          <w:szCs w:val="32"/>
          <w14:textFill>
            <w14:solidFill>
              <w14:schemeClr w14:val="tx1"/>
            </w14:solidFill>
          </w14:textFill>
        </w:rPr>
        <w:t>打通市交易平台与农村集体“三资”监管平台，强化对农村集体资源资产的监督管理和盘活利用。探索推进农村产权流转交易与不动产登记机构的业务协同、协作配合和系统联动。</w:t>
      </w:r>
    </w:p>
    <w:p w14:paraId="3B51F050">
      <w:pPr>
        <w:spacing w:line="600" w:lineRule="exact"/>
        <w:ind w:firstLine="595" w:firstLineChars="186"/>
        <w:rPr>
          <w:rFonts w:ascii="宋体" w:hAnsi="宋体" w:eastAsia="仿宋_GB2312"/>
          <w:color w:val="000000" w:themeColor="text1"/>
          <w:sz w:val="32"/>
          <w:szCs w:val="32"/>
          <w14:textFill>
            <w14:solidFill>
              <w14:schemeClr w14:val="tx1"/>
            </w14:solidFill>
          </w14:textFill>
        </w:rPr>
      </w:pPr>
      <w:r>
        <w:rPr>
          <w:rFonts w:hint="eastAsia" w:ascii="Times New Roman" w:hAnsi="Times New Roman" w:eastAsia="仿宋_GB2312"/>
          <w:sz w:val="32"/>
          <w:szCs w:val="32"/>
        </w:rPr>
        <w:t>4.</w:t>
      </w:r>
      <w:r>
        <w:rPr>
          <w:rFonts w:hint="eastAsia" w:ascii="宋体" w:hAnsi="宋体" w:eastAsia="仿宋_GB2312"/>
          <w:sz w:val="32"/>
          <w:szCs w:val="32"/>
        </w:rPr>
        <w:t>拓展服务功能。</w:t>
      </w:r>
      <w:r>
        <w:rPr>
          <w:rFonts w:hint="eastAsia" w:ascii="宋体" w:hAnsi="宋体" w:eastAsia="仿宋_GB2312"/>
          <w:color w:val="000000" w:themeColor="text1"/>
          <w:sz w:val="32"/>
          <w:szCs w:val="32"/>
          <w14:textFill>
            <w14:solidFill>
              <w14:schemeClr w14:val="tx1"/>
            </w14:solidFill>
          </w14:textFill>
        </w:rPr>
        <w:t>市农交中心应充分发挥市交易平台的信息传递、价格发现、交易中介功能。积极引入法律咨询、资产评估、招商推介、农业社会化服务等第三方服务。加强与</w:t>
      </w:r>
      <w:r>
        <w:rPr>
          <w:rFonts w:hint="eastAsia" w:ascii="宋体" w:hAnsi="宋体" w:eastAsia="仿宋_GB2312"/>
          <w:sz w:val="32"/>
          <w:szCs w:val="32"/>
        </w:rPr>
        <w:t>银行保险机构共享信息，为其开展抵（质）押合同签订、抵（质）押物处置交易业务、农业保险投赔业务提供便利。支持金融机构利用交易数据和交易主体信用信息，创新农村普惠性金融产品。引导各类银行、担保、保险机构在市交易平台开设“金融超市”。</w:t>
      </w:r>
    </w:p>
    <w:p w14:paraId="14B246EE">
      <w:pPr>
        <w:spacing w:line="600" w:lineRule="exact"/>
        <w:ind w:firstLine="595" w:firstLineChars="186"/>
        <w:rPr>
          <w:rFonts w:ascii="楷体_GB2312" w:hAnsi="宋体" w:eastAsia="楷体_GB2312"/>
          <w:sz w:val="32"/>
          <w:szCs w:val="32"/>
        </w:rPr>
      </w:pPr>
      <w:r>
        <w:rPr>
          <w:rFonts w:hint="eastAsia" w:ascii="楷体_GB2312" w:hAnsi="宋体" w:eastAsia="楷体_GB2312"/>
          <w:sz w:val="32"/>
          <w:szCs w:val="32"/>
        </w:rPr>
        <w:t>（二）完善交易</w:t>
      </w:r>
      <w:r>
        <w:rPr>
          <w:rFonts w:hint="eastAsia" w:ascii="楷体_GB2312" w:hAnsi="宋体" w:eastAsia="楷体_GB2312"/>
          <w:color w:val="000000" w:themeColor="text1"/>
          <w:sz w:val="32"/>
          <w:szCs w:val="32"/>
          <w14:textFill>
            <w14:solidFill>
              <w14:schemeClr w14:val="tx1"/>
            </w14:solidFill>
          </w14:textFill>
        </w:rPr>
        <w:t>规</w:t>
      </w:r>
      <w:r>
        <w:rPr>
          <w:rFonts w:hint="eastAsia" w:ascii="楷体_GB2312" w:hAnsi="宋体" w:eastAsia="楷体_GB2312"/>
          <w:sz w:val="32"/>
          <w:szCs w:val="32"/>
        </w:rPr>
        <w:t>则，规范市场行为</w:t>
      </w:r>
    </w:p>
    <w:p w14:paraId="638066D2">
      <w:pPr>
        <w:spacing w:line="600" w:lineRule="exact"/>
        <w:ind w:firstLine="640" w:firstLineChars="200"/>
        <w:rPr>
          <w:rFonts w:ascii="宋体" w:hAnsi="宋体" w:eastAsia="仿宋_GB2312"/>
          <w:color w:val="000000" w:themeColor="text1"/>
          <w:sz w:val="32"/>
          <w:szCs w:val="32"/>
          <w14:textFill>
            <w14:solidFill>
              <w14:schemeClr w14:val="tx1"/>
            </w14:solidFill>
          </w14:textFill>
        </w:rPr>
      </w:pPr>
      <w:r>
        <w:rPr>
          <w:rFonts w:ascii="Times New Roman" w:hAnsi="Times New Roman" w:eastAsia="楷体"/>
          <w:color w:val="000000" w:themeColor="text1"/>
          <w:sz w:val="32"/>
          <w:szCs w:val="32"/>
          <w14:textFill>
            <w14:solidFill>
              <w14:schemeClr w14:val="tx1"/>
            </w14:solidFill>
          </w14:textFill>
        </w:rPr>
        <w:t>1</w:t>
      </w:r>
      <w:r>
        <w:rPr>
          <w:rFonts w:ascii="Times New Roman" w:hAnsi="Times New Roman" w:eastAsia="楷体"/>
          <w:color w:val="0D0D0D" w:themeColor="text1" w:themeTint="F2"/>
          <w:sz w:val="32"/>
          <w:szCs w:val="32"/>
          <w14:textFill>
            <w14:solidFill>
              <w14:schemeClr w14:val="tx1">
                <w14:lumMod w14:val="95000"/>
                <w14:lumOff w14:val="5000"/>
              </w14:schemeClr>
            </w14:solidFill>
          </w14:textFill>
        </w:rPr>
        <w:t>.</w:t>
      </w:r>
      <w:r>
        <w:rPr>
          <w:rFonts w:hint="eastAsia" w:ascii="宋体" w:hAnsi="宋体" w:eastAsia="仿宋_GB2312"/>
          <w:color w:val="000000" w:themeColor="text1"/>
          <w:sz w:val="32"/>
          <w:szCs w:val="32"/>
          <w14:textFill>
            <w14:solidFill>
              <w14:schemeClr w14:val="tx1"/>
            </w14:solidFill>
          </w14:textFill>
        </w:rPr>
        <w:t>明确交易品种。法律没有限制的品种均可入场交易，市农交中心制定发布和适时调整“济南市农村产权交易品种目录”。</w:t>
      </w:r>
      <w:r>
        <w:rPr>
          <w:rFonts w:ascii="宋体" w:hAnsi="宋体" w:eastAsia="仿宋_GB2312"/>
          <w:color w:val="000000" w:themeColor="text1"/>
          <w:sz w:val="32"/>
          <w:szCs w:val="32"/>
          <w14:textFill>
            <w14:solidFill>
              <w14:schemeClr w14:val="tx1"/>
            </w14:solidFill>
          </w14:textFill>
        </w:rPr>
        <w:t>现阶段交易品种主要包括</w:t>
      </w:r>
      <w:r>
        <w:rPr>
          <w:rFonts w:hint="eastAsia" w:ascii="宋体" w:hAnsi="宋体" w:eastAsia="仿宋_GB2312"/>
          <w:color w:val="000000" w:themeColor="text1"/>
          <w:sz w:val="32"/>
          <w:szCs w:val="32"/>
          <w14:textFill>
            <w14:solidFill>
              <w14:schemeClr w14:val="tx1"/>
            </w14:solidFill>
          </w14:textFill>
        </w:rPr>
        <w:t>：农村土地经营权；林权；“四荒”经营权；农村养殖水面经营权；农村集体经营性资产；农民房屋使用权；农业类知识产权；农业生产设施设备；小型水利设施使用权；农村工程建设项目；农村集体采购项目；农业产业项目。</w:t>
      </w:r>
    </w:p>
    <w:p w14:paraId="4DD71ECA">
      <w:pPr>
        <w:spacing w:line="600" w:lineRule="exact"/>
        <w:ind w:firstLine="595" w:firstLineChars="186"/>
        <w:rPr>
          <w:rFonts w:ascii="宋体" w:hAnsi="宋体" w:eastAsia="仿宋_GB2312"/>
          <w:color w:val="000000" w:themeColor="text1"/>
          <w:sz w:val="32"/>
          <w:szCs w:val="32"/>
          <w14:textFill>
            <w14:solidFill>
              <w14:schemeClr w14:val="tx1"/>
            </w14:solidFill>
          </w14:textFill>
        </w:rPr>
      </w:pPr>
      <w:r>
        <w:rPr>
          <w:rFonts w:ascii="Times New Roman" w:hAnsi="Times New Roman" w:eastAsia="楷体"/>
          <w:color w:val="0D0D0D" w:themeColor="text1" w:themeTint="F2"/>
          <w:sz w:val="32"/>
          <w:szCs w:val="32"/>
          <w14:textFill>
            <w14:solidFill>
              <w14:schemeClr w14:val="tx1">
                <w14:lumMod w14:val="95000"/>
                <w14:lumOff w14:val="5000"/>
              </w14:schemeClr>
            </w14:solidFill>
          </w14:textFill>
        </w:rPr>
        <w:t>2.</w:t>
      </w:r>
      <w:r>
        <w:rPr>
          <w:rFonts w:hint="eastAsia" w:ascii="宋体" w:hAnsi="宋体" w:eastAsia="仿宋_GB2312"/>
          <w:color w:val="000000" w:themeColor="text1"/>
          <w:sz w:val="32"/>
          <w:szCs w:val="32"/>
          <w14:textFill>
            <w14:solidFill>
              <w14:schemeClr w14:val="tx1"/>
            </w14:solidFill>
          </w14:textFill>
        </w:rPr>
        <w:t>推动“应进必进”。省、市公共资源交易目录范围内的农村集体产权交易全部纳入市交易</w:t>
      </w:r>
      <w:r>
        <w:rPr>
          <w:rFonts w:hint="eastAsia" w:ascii="宋体" w:hAnsi="宋体" w:eastAsia="仿宋_GB2312"/>
          <w:sz w:val="32"/>
          <w:szCs w:val="32"/>
        </w:rPr>
        <w:t>平台。</w:t>
      </w:r>
      <w:r>
        <w:rPr>
          <w:rFonts w:ascii="宋体" w:hAnsi="宋体" w:eastAsia="仿宋_GB2312"/>
          <w:sz w:val="32"/>
          <w:szCs w:val="32"/>
        </w:rPr>
        <w:t>5</w:t>
      </w:r>
      <w:r>
        <w:rPr>
          <w:rFonts w:hint="eastAsia" w:ascii="宋体" w:hAnsi="宋体" w:eastAsia="仿宋_GB2312"/>
          <w:sz w:val="32"/>
          <w:szCs w:val="32"/>
        </w:rPr>
        <w:t>万元以上（含）的农村集体货物和服务采购项目、</w:t>
      </w:r>
      <w:r>
        <w:rPr>
          <w:rFonts w:ascii="宋体" w:hAnsi="宋体" w:eastAsia="仿宋_GB2312"/>
          <w:sz w:val="32"/>
          <w:szCs w:val="32"/>
        </w:rPr>
        <w:t>10</w:t>
      </w:r>
      <w:r>
        <w:rPr>
          <w:rFonts w:hint="eastAsia" w:ascii="宋体" w:hAnsi="宋体" w:eastAsia="仿宋_GB2312"/>
          <w:sz w:val="32"/>
          <w:szCs w:val="32"/>
        </w:rPr>
        <w:t>万元以上（含）的农村集体工程项目、单次</w:t>
      </w:r>
      <w:r>
        <w:rPr>
          <w:rFonts w:ascii="宋体" w:hAnsi="宋体" w:eastAsia="仿宋_GB2312"/>
          <w:sz w:val="32"/>
          <w:szCs w:val="32"/>
        </w:rPr>
        <w:t>10</w:t>
      </w:r>
      <w:r>
        <w:rPr>
          <w:rFonts w:hint="eastAsia" w:ascii="宋体" w:hAnsi="宋体" w:eastAsia="仿宋_GB2312"/>
          <w:sz w:val="32"/>
          <w:szCs w:val="32"/>
        </w:rPr>
        <w:t>亩以上（含）的集体土地经营权流转、单次</w:t>
      </w:r>
      <w:r>
        <w:rPr>
          <w:rFonts w:ascii="宋体" w:hAnsi="宋体" w:eastAsia="仿宋_GB2312"/>
          <w:sz w:val="32"/>
          <w:szCs w:val="32"/>
        </w:rPr>
        <w:t>50</w:t>
      </w:r>
      <w:r>
        <w:rPr>
          <w:rFonts w:hint="eastAsia" w:ascii="宋体" w:hAnsi="宋体" w:eastAsia="仿宋_GB2312"/>
          <w:sz w:val="32"/>
          <w:szCs w:val="32"/>
        </w:rPr>
        <w:t>亩以上（含）的农户土地经营权流转、农户委托集</w:t>
      </w:r>
      <w:r>
        <w:rPr>
          <w:rFonts w:hint="eastAsia" w:ascii="宋体" w:hAnsi="宋体" w:eastAsia="仿宋_GB2312"/>
          <w:color w:val="000000" w:themeColor="text1"/>
          <w:sz w:val="32"/>
          <w:szCs w:val="32"/>
          <w14:textFill>
            <w14:solidFill>
              <w14:schemeClr w14:val="tx1"/>
            </w14:solidFill>
          </w14:textFill>
        </w:rPr>
        <w:t>体经济组织流转土地经营权，必须进入市交易平台按规定程序进行交易。</w:t>
      </w:r>
    </w:p>
    <w:p w14:paraId="7F6154EC">
      <w:pPr>
        <w:spacing w:line="600" w:lineRule="exact"/>
        <w:ind w:firstLine="595" w:firstLineChars="186"/>
        <w:rPr>
          <w:rFonts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低于以上标准的，鼓励进入市交易平台挂牌交易或交易双方按要求签订协议后，经镇（街道）初审、区县复审后，在市信息平台进行备案。严禁违反“应进必进”要求，故意拆分流转交易项目规避备案的行为。</w:t>
      </w:r>
    </w:p>
    <w:p w14:paraId="09CB4D24">
      <w:pPr>
        <w:spacing w:line="600" w:lineRule="exact"/>
        <w:ind w:firstLine="595" w:firstLineChars="186"/>
        <w:rPr>
          <w:rFonts w:ascii="楷体_GB2312" w:hAnsi="宋体" w:eastAsia="楷体_GB2312"/>
          <w:strike/>
          <w:color w:val="000000" w:themeColor="text1"/>
          <w:sz w:val="32"/>
          <w:szCs w:val="32"/>
          <w14:textFill>
            <w14:solidFill>
              <w14:schemeClr w14:val="tx1"/>
            </w14:solidFill>
          </w14:textFill>
        </w:rPr>
      </w:pPr>
      <w:r>
        <w:rPr>
          <w:rFonts w:ascii="Times New Roman" w:hAnsi="Times New Roman" w:eastAsia="楷体"/>
          <w:color w:val="0D0D0D" w:themeColor="text1" w:themeTint="F2"/>
          <w:sz w:val="32"/>
          <w:szCs w:val="32"/>
          <w14:textFill>
            <w14:solidFill>
              <w14:schemeClr w14:val="tx1">
                <w14:lumMod w14:val="95000"/>
                <w14:lumOff w14:val="5000"/>
              </w14:schemeClr>
            </w14:solidFill>
          </w14:textFill>
        </w:rPr>
        <w:t>3</w:t>
      </w:r>
      <w:r>
        <w:rPr>
          <w:rFonts w:hint="eastAsia" w:ascii="楷体" w:hAnsi="楷体" w:eastAsia="楷体"/>
          <w:color w:val="0D0D0D" w:themeColor="text1" w:themeTint="F2"/>
          <w:sz w:val="32"/>
          <w:szCs w:val="32"/>
          <w14:textFill>
            <w14:solidFill>
              <w14:schemeClr w14:val="tx1">
                <w14:lumMod w14:val="95000"/>
                <w14:lumOff w14:val="5000"/>
              </w14:schemeClr>
            </w14:solidFill>
          </w14:textFill>
        </w:rPr>
        <w:t>.</w:t>
      </w:r>
      <w:r>
        <w:rPr>
          <w:rFonts w:hint="eastAsia" w:ascii="宋体" w:hAnsi="宋体" w:eastAsia="仿宋_GB2312"/>
          <w:color w:val="000000" w:themeColor="text1"/>
          <w:sz w:val="32"/>
          <w:szCs w:val="32"/>
          <w14:textFill>
            <w14:solidFill>
              <w14:schemeClr w14:val="tx1"/>
            </w14:solidFill>
          </w14:textFill>
        </w:rPr>
        <w:t>引导“能进则进”。引导和鼓励家庭农场、农民合作社、农业企业以及农民个人所持</w:t>
      </w:r>
      <w:r>
        <w:rPr>
          <w:rFonts w:hint="eastAsia" w:ascii="宋体" w:hAnsi="宋体" w:eastAsia="仿宋_GB2312"/>
          <w:sz w:val="32"/>
          <w:szCs w:val="32"/>
        </w:rPr>
        <w:t>有的资产、股权、知识产权等“能进则进”</w:t>
      </w:r>
      <w:r>
        <w:rPr>
          <w:rFonts w:hint="eastAsia" w:ascii="宋体" w:hAnsi="宋体" w:eastAsia="仿宋_GB2312"/>
          <w:color w:val="000000" w:themeColor="text1"/>
          <w:sz w:val="32"/>
          <w:szCs w:val="32"/>
          <w14:textFill>
            <w14:solidFill>
              <w14:schemeClr w14:val="tx1"/>
            </w14:solidFill>
          </w14:textFill>
        </w:rPr>
        <w:t>。探索拓展市交易平台交易服务范围，融合搭建“济南农品”、“济南农服”等交易服务平台。</w:t>
      </w:r>
    </w:p>
    <w:p w14:paraId="2AC97ED1">
      <w:pPr>
        <w:spacing w:line="600" w:lineRule="exact"/>
        <w:ind w:firstLine="595" w:firstLineChars="186"/>
        <w:rPr>
          <w:rFonts w:ascii="宋体" w:hAnsi="宋体" w:eastAsia="仿宋_GB2312"/>
          <w:sz w:val="32"/>
          <w:szCs w:val="32"/>
        </w:rPr>
      </w:pPr>
      <w:r>
        <w:rPr>
          <w:rFonts w:ascii="Times New Roman" w:hAnsi="Times New Roman" w:eastAsia="楷体"/>
          <w:color w:val="0D0D0D" w:themeColor="text1" w:themeTint="F2"/>
          <w:sz w:val="32"/>
          <w:szCs w:val="32"/>
          <w14:textFill>
            <w14:solidFill>
              <w14:schemeClr w14:val="tx1">
                <w14:lumMod w14:val="95000"/>
                <w14:lumOff w14:val="5000"/>
              </w14:schemeClr>
            </w14:solidFill>
          </w14:textFill>
        </w:rPr>
        <w:t>4</w:t>
      </w:r>
      <w:r>
        <w:rPr>
          <w:rFonts w:hint="eastAsia" w:ascii="楷体" w:hAnsi="楷体" w:eastAsia="楷体"/>
          <w:color w:val="0D0D0D" w:themeColor="text1" w:themeTint="F2"/>
          <w:sz w:val="32"/>
          <w:szCs w:val="32"/>
          <w14:textFill>
            <w14:solidFill>
              <w14:schemeClr w14:val="tx1">
                <w14:lumMod w14:val="95000"/>
                <w14:lumOff w14:val="5000"/>
              </w14:schemeClr>
            </w14:solidFill>
          </w14:textFill>
        </w:rPr>
        <w:t>.</w:t>
      </w:r>
      <w:r>
        <w:rPr>
          <w:rFonts w:hint="eastAsia" w:ascii="宋体" w:hAnsi="宋体" w:eastAsia="仿宋_GB2312"/>
          <w:color w:val="000000" w:themeColor="text1"/>
          <w:sz w:val="32"/>
          <w:szCs w:val="32"/>
          <w14:textFill>
            <w14:solidFill>
              <w14:schemeClr w14:val="tx1"/>
            </w14:solidFill>
          </w14:textFill>
        </w:rPr>
        <w:t>规范交易主体。凡是法律、法规</w:t>
      </w:r>
      <w:r>
        <w:rPr>
          <w:rFonts w:hint="eastAsia" w:ascii="宋体" w:hAnsi="宋体" w:eastAsia="仿宋_GB2312"/>
          <w:sz w:val="32"/>
          <w:szCs w:val="32"/>
        </w:rPr>
        <w:t>和政策没有限制的均可参与交易，具体准入条件按相关法律、法规和政策执行。交易出让方应是产权权利人或受托人；共有产权交易须共有人同意，确保没有权属纠纷。严禁交易主体隐瞒信息、操纵交易等违法违规行为，建立交易主体“异常名单”制度。</w:t>
      </w:r>
    </w:p>
    <w:p w14:paraId="41F7C32B">
      <w:pPr>
        <w:spacing w:line="600" w:lineRule="exact"/>
        <w:ind w:firstLine="595" w:firstLineChars="186"/>
        <w:rPr>
          <w:rFonts w:ascii="宋体" w:hAnsi="宋体" w:eastAsia="仿宋_GB2312"/>
          <w:sz w:val="32"/>
          <w:szCs w:val="32"/>
        </w:rPr>
      </w:pPr>
      <w:r>
        <w:rPr>
          <w:rFonts w:ascii="Times New Roman" w:hAnsi="Times New Roman" w:eastAsia="楷体"/>
          <w:color w:val="0D0D0D" w:themeColor="text1" w:themeTint="F2"/>
          <w:sz w:val="32"/>
          <w:szCs w:val="32"/>
          <w14:textFill>
            <w14:solidFill>
              <w14:schemeClr w14:val="tx1">
                <w14:lumMod w14:val="95000"/>
                <w14:lumOff w14:val="5000"/>
              </w14:schemeClr>
            </w14:solidFill>
          </w14:textFill>
        </w:rPr>
        <w:t>5</w:t>
      </w:r>
      <w:r>
        <w:rPr>
          <w:rFonts w:hint="eastAsia" w:ascii="楷体" w:hAnsi="楷体" w:eastAsia="楷体"/>
          <w:color w:val="0D0D0D" w:themeColor="text1" w:themeTint="F2"/>
          <w:sz w:val="32"/>
          <w:szCs w:val="32"/>
          <w14:textFill>
            <w14:solidFill>
              <w14:schemeClr w14:val="tx1">
                <w14:lumMod w14:val="95000"/>
                <w14:lumOff w14:val="5000"/>
              </w14:schemeClr>
            </w14:solidFill>
          </w14:textFill>
        </w:rPr>
        <w:t>.</w:t>
      </w:r>
      <w:r>
        <w:rPr>
          <w:rFonts w:hint="eastAsia" w:ascii="宋体" w:hAnsi="宋体" w:eastAsia="仿宋_GB2312"/>
          <w:color w:val="000000" w:themeColor="text1"/>
          <w:sz w:val="32"/>
          <w:szCs w:val="32"/>
          <w14:textFill>
            <w14:solidFill>
              <w14:schemeClr w14:val="tx1"/>
            </w14:solidFill>
          </w14:textFill>
        </w:rPr>
        <w:t>丰富交易方式。交</w:t>
      </w:r>
      <w:r>
        <w:rPr>
          <w:rFonts w:hint="eastAsia" w:ascii="宋体" w:hAnsi="宋体" w:eastAsia="仿宋_GB2312"/>
          <w:sz w:val="32"/>
          <w:szCs w:val="32"/>
        </w:rPr>
        <w:t>易可采取竞价、招投标、询比、拍卖以及国家法律法规规定的其他方式进行。</w:t>
      </w:r>
    </w:p>
    <w:p w14:paraId="384FA8DF">
      <w:pPr>
        <w:spacing w:line="600" w:lineRule="exact"/>
        <w:ind w:firstLine="595" w:firstLineChars="186"/>
        <w:rPr>
          <w:rFonts w:ascii="宋体" w:hAnsi="宋体" w:eastAsia="仿宋_GB2312"/>
          <w:sz w:val="32"/>
          <w:szCs w:val="32"/>
        </w:rPr>
      </w:pPr>
      <w:r>
        <w:rPr>
          <w:rFonts w:ascii="Times New Roman" w:hAnsi="Times New Roman" w:eastAsia="楷体"/>
          <w:color w:val="0D0D0D" w:themeColor="text1" w:themeTint="F2"/>
          <w:sz w:val="32"/>
          <w:szCs w:val="32"/>
          <w14:textFill>
            <w14:solidFill>
              <w14:schemeClr w14:val="tx1">
                <w14:lumMod w14:val="95000"/>
                <w14:lumOff w14:val="5000"/>
              </w14:schemeClr>
            </w14:solidFill>
          </w14:textFill>
        </w:rPr>
        <w:t>6</w:t>
      </w:r>
      <w:r>
        <w:rPr>
          <w:rFonts w:hint="eastAsia" w:ascii="楷体" w:hAnsi="楷体" w:eastAsia="楷体"/>
          <w:color w:val="0D0D0D" w:themeColor="text1" w:themeTint="F2"/>
          <w:sz w:val="32"/>
          <w:szCs w:val="32"/>
          <w14:textFill>
            <w14:solidFill>
              <w14:schemeClr w14:val="tx1">
                <w14:lumMod w14:val="95000"/>
                <w14:lumOff w14:val="5000"/>
              </w14:schemeClr>
            </w14:solidFill>
          </w14:textFill>
        </w:rPr>
        <w:t>.</w:t>
      </w:r>
      <w:r>
        <w:rPr>
          <w:rFonts w:hint="eastAsia" w:ascii="宋体" w:hAnsi="宋体" w:eastAsia="仿宋_GB2312"/>
          <w:sz w:val="32"/>
          <w:szCs w:val="32"/>
        </w:rPr>
        <w:t>完善交易程序。组织交易按以下程序实施。</w:t>
      </w:r>
    </w:p>
    <w:p w14:paraId="49BBB64E">
      <w:pPr>
        <w:spacing w:line="600" w:lineRule="exact"/>
        <w:ind w:firstLine="640" w:firstLineChars="200"/>
        <w:rPr>
          <w:rFonts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1）交易申请。出让方向农交中心或交易服务站提交交易申请及相关材料，并对材料的真实性、有效性承担法律责任。农村集体资源资产的流转交易还需提供本集体经济组织成员（代表）大会同意流转交易的民主决策材料；需通过审核审批程序的还应提交相关审批材料。</w:t>
      </w:r>
    </w:p>
    <w:p w14:paraId="3C793A09">
      <w:pPr>
        <w:spacing w:line="600" w:lineRule="exact"/>
        <w:ind w:firstLine="640" w:firstLineChars="200"/>
        <w:rPr>
          <w:rFonts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2）委托受理。受理农交中心或服务站根据产权类型对交易申请材料进行审核，必要时可提请相关政府职能部门协助现场勘验、查档确认权属。符合法律、法规和政策要求的申请予以受理，并明确告知受理期限。</w:t>
      </w:r>
    </w:p>
    <w:p w14:paraId="2604903E">
      <w:pPr>
        <w:spacing w:line="600" w:lineRule="exact"/>
        <w:ind w:firstLine="640" w:firstLineChars="200"/>
        <w:rPr>
          <w:rFonts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（3）信息公告。受理农交中心或服务站审核通过后，在市交易平台上广泛征集受让需求。项目信息公告期不少于7个工作日。</w:t>
      </w:r>
    </w:p>
    <w:p w14:paraId="7980187B">
      <w:pPr>
        <w:spacing w:line="600" w:lineRule="exact"/>
        <w:ind w:firstLine="640" w:firstLineChars="200"/>
        <w:rPr>
          <w:rFonts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（4）受让受理。意向方按照公告要求网上报名，提交相关材料，并对材料真实性、有效性承担法律责任。交易项目设置交易保证金的，应遵守交易保证金法律、法规和相关政策规定。</w:t>
      </w:r>
    </w:p>
    <w:p w14:paraId="73B59316">
      <w:pPr>
        <w:spacing w:line="600" w:lineRule="exact"/>
        <w:ind w:firstLine="640" w:firstLineChars="200"/>
        <w:rPr>
          <w:rFonts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（5）组织交易。公告期满后，受理农交中心或服务站按照公告中公布的交易方式组织交易。交易过程应公开公正，成交结果在市交易平台公示。</w:t>
      </w:r>
    </w:p>
    <w:p w14:paraId="1DED3B90">
      <w:pPr>
        <w:spacing w:line="600" w:lineRule="exact"/>
        <w:ind w:firstLine="640" w:firstLineChars="200"/>
        <w:rPr>
          <w:rFonts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（6）</w:t>
      </w:r>
      <w:r>
        <w:rPr>
          <w:rFonts w:hint="eastAsia" w:ascii="宋体" w:hAnsi="宋体" w:eastAsia="仿宋_GB2312"/>
          <w:color w:val="000000" w:themeColor="text1"/>
          <w:spacing w:val="-6"/>
          <w:sz w:val="32"/>
          <w:szCs w:val="32"/>
          <w14:textFill>
            <w14:solidFill>
              <w14:schemeClr w14:val="tx1"/>
            </w14:solidFill>
          </w14:textFill>
        </w:rPr>
        <w:t>组织签约。公示期满无异议的，受理农交中心或服务站组织双方签订农村产权流转交易合同。合同签订应遵守国家法律法规及相关政策规定，合同内容应符合项目信息公告条件。</w:t>
      </w:r>
    </w:p>
    <w:p w14:paraId="40ED0E21">
      <w:pPr>
        <w:spacing w:line="600" w:lineRule="exact"/>
        <w:ind w:firstLine="640" w:firstLineChars="200"/>
        <w:rPr>
          <w:rFonts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（7）交易结算。合同生效后，交易双方按照合同约定和相关交易规则进行交易结算。</w:t>
      </w:r>
    </w:p>
    <w:p w14:paraId="485EC19B">
      <w:pPr>
        <w:spacing w:line="600" w:lineRule="exact"/>
        <w:ind w:firstLine="640" w:firstLineChars="200"/>
        <w:rPr>
          <w:rFonts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（8）交易鉴证。受理农交中心或服务站出具由市农交中心统一制定的农村产权流转交易鉴证书。</w:t>
      </w:r>
    </w:p>
    <w:p w14:paraId="621A6613">
      <w:pPr>
        <w:spacing w:line="600" w:lineRule="exact"/>
        <w:ind w:firstLine="640" w:firstLineChars="200"/>
        <w:rPr>
          <w:rFonts w:ascii="宋体" w:hAnsi="宋体" w:eastAsia="仿宋_GB2312"/>
          <w:color w:val="000000" w:themeColor="text1"/>
          <w:sz w:val="32"/>
          <w:szCs w:val="32"/>
          <w14:textFill>
            <w14:solidFill>
              <w14:schemeClr w14:val="tx1"/>
            </w14:solidFill>
          </w14:textFill>
        </w:rPr>
      </w:pPr>
      <w:r>
        <w:rPr>
          <w:rFonts w:hint="eastAsia" w:ascii="宋体" w:hAnsi="宋体" w:eastAsia="仿宋_GB2312"/>
          <w:color w:val="000000" w:themeColor="text1"/>
          <w:sz w:val="32"/>
          <w:szCs w:val="32"/>
          <w14:textFill>
            <w14:solidFill>
              <w14:schemeClr w14:val="tx1"/>
            </w14:solidFill>
          </w14:textFill>
        </w:rPr>
        <w:t>（9）归档备查。交易完成后，受理农交中心或服务站应将交易过程中形成的具有保存价值的文字、图表、电子数据等，按照档案管理有关规定进行收集、整理、归档，并集中统一保管备查。</w:t>
      </w:r>
    </w:p>
    <w:p w14:paraId="6A720BBF">
      <w:pPr>
        <w:spacing w:line="600" w:lineRule="exact"/>
        <w:ind w:firstLine="640" w:firstLineChars="200"/>
        <w:rPr>
          <w:rFonts w:ascii="宋体" w:hAnsi="宋体" w:eastAsia="仿宋_GB2312"/>
          <w:sz w:val="32"/>
          <w:szCs w:val="32"/>
          <w:highlight w:val="yellow"/>
        </w:rPr>
      </w:pPr>
      <w:r>
        <w:rPr>
          <w:rFonts w:ascii="Times New Roman" w:hAnsi="Times New Roman" w:eastAsia="楷体"/>
          <w:color w:val="000000" w:themeColor="text1"/>
          <w:sz w:val="32"/>
          <w:szCs w:val="32"/>
          <w14:textFill>
            <w14:solidFill>
              <w14:schemeClr w14:val="tx1"/>
            </w14:solidFill>
          </w14:textFill>
        </w:rPr>
        <w:t>7</w:t>
      </w:r>
      <w:r>
        <w:rPr>
          <w:rFonts w:hint="eastAsia" w:ascii="楷体" w:hAnsi="楷体" w:eastAsia="楷体"/>
          <w:color w:val="000000" w:themeColor="text1"/>
          <w:sz w:val="32"/>
          <w:szCs w:val="32"/>
          <w14:textFill>
            <w14:solidFill>
              <w14:schemeClr w14:val="tx1"/>
            </w14:solidFill>
          </w14:textFill>
        </w:rPr>
        <w:t>.</w:t>
      </w:r>
      <w:r>
        <w:rPr>
          <w:rFonts w:hint="eastAsia" w:ascii="宋体" w:hAnsi="宋体" w:eastAsia="仿宋_GB2312"/>
          <w:sz w:val="32"/>
          <w:szCs w:val="32"/>
        </w:rPr>
        <w:t>交易中止与终止。交易过程中出现产权争议、交易纠纷、不可抗力等导致交易无法继续进行的情形，经出让方、受让方</w:t>
      </w:r>
      <w:r>
        <w:rPr>
          <w:rFonts w:hint="eastAsia" w:ascii="宋体" w:hAnsi="宋体" w:eastAsia="仿宋_GB2312"/>
          <w:color w:val="000000" w:themeColor="text1"/>
          <w:sz w:val="32"/>
          <w:szCs w:val="32"/>
          <w14:textFill>
            <w14:solidFill>
              <w14:schemeClr w14:val="tx1"/>
            </w14:solidFill>
          </w14:textFill>
        </w:rPr>
        <w:t>或第三方提出申请并经受理</w:t>
      </w:r>
      <w:bookmarkStart w:id="2" w:name="_Hlk204898375"/>
      <w:r>
        <w:rPr>
          <w:rFonts w:hint="eastAsia" w:ascii="宋体" w:hAnsi="宋体" w:eastAsia="仿宋_GB2312"/>
          <w:color w:val="000000" w:themeColor="text1"/>
          <w:sz w:val="32"/>
          <w:szCs w:val="32"/>
          <w14:textFill>
            <w14:solidFill>
              <w14:schemeClr w14:val="tx1"/>
            </w14:solidFill>
          </w14:textFill>
        </w:rPr>
        <w:t>农交中心或服务站</w:t>
      </w:r>
      <w:bookmarkEnd w:id="2"/>
      <w:r>
        <w:rPr>
          <w:rFonts w:hint="eastAsia" w:ascii="宋体" w:hAnsi="宋体" w:eastAsia="仿宋_GB2312"/>
          <w:color w:val="000000" w:themeColor="text1"/>
          <w:sz w:val="32"/>
          <w:szCs w:val="32"/>
          <w14:textFill>
            <w14:solidFill>
              <w14:schemeClr w14:val="tx1"/>
            </w14:solidFill>
          </w14:textFill>
        </w:rPr>
        <w:t>审核通过后，可中止</w:t>
      </w:r>
      <w:r>
        <w:rPr>
          <w:rFonts w:hint="eastAsia" w:ascii="宋体" w:hAnsi="宋体" w:eastAsia="仿宋_GB2312"/>
          <w:sz w:val="32"/>
          <w:szCs w:val="32"/>
        </w:rPr>
        <w:t>或终止交易。中止期限一般不超过</w:t>
      </w:r>
      <w:r>
        <w:rPr>
          <w:rFonts w:ascii="宋体" w:hAnsi="宋体" w:eastAsia="仿宋_GB2312"/>
          <w:sz w:val="32"/>
          <w:szCs w:val="32"/>
        </w:rPr>
        <w:t>30</w:t>
      </w:r>
      <w:r>
        <w:rPr>
          <w:rFonts w:hint="eastAsia" w:ascii="宋体" w:hAnsi="宋体" w:eastAsia="仿宋_GB2312"/>
          <w:sz w:val="32"/>
          <w:szCs w:val="32"/>
        </w:rPr>
        <w:t>天。受理农交中心或服务站应当在中止期间对相关申请事由或争议事项进行调查核实，也可转请相关部门进行调查核实，及时作出恢复或者终止交易的决定。</w:t>
      </w:r>
    </w:p>
    <w:p w14:paraId="5A5CEC6C">
      <w:pPr>
        <w:spacing w:line="600" w:lineRule="exact"/>
        <w:ind w:firstLine="595" w:firstLineChars="186"/>
        <w:rPr>
          <w:rFonts w:ascii="楷体_GB2312" w:hAnsi="宋体" w:eastAsia="楷体_GB2312"/>
          <w:sz w:val="32"/>
          <w:szCs w:val="32"/>
        </w:rPr>
      </w:pPr>
      <w:r>
        <w:rPr>
          <w:rFonts w:hint="eastAsia" w:ascii="楷体_GB2312" w:hAnsi="宋体" w:eastAsia="楷体_GB2312"/>
          <w:sz w:val="32"/>
          <w:szCs w:val="32"/>
        </w:rPr>
        <w:t>（三）加强风险防控，筑牢安全防线</w:t>
      </w:r>
    </w:p>
    <w:p w14:paraId="0C907FB3">
      <w:pPr>
        <w:spacing w:line="600" w:lineRule="exact"/>
        <w:ind w:firstLine="595" w:firstLineChars="186"/>
        <w:rPr>
          <w:rFonts w:ascii="宋体" w:hAnsi="宋体" w:eastAsia="仿宋_GB2312"/>
          <w:sz w:val="32"/>
          <w:szCs w:val="32"/>
        </w:rPr>
      </w:pPr>
      <w:r>
        <w:rPr>
          <w:rFonts w:ascii="Times New Roman" w:hAnsi="Times New Roman" w:eastAsia="楷体"/>
          <w:sz w:val="32"/>
          <w:szCs w:val="32"/>
        </w:rPr>
        <w:t>1</w:t>
      </w:r>
      <w:r>
        <w:rPr>
          <w:rFonts w:hint="eastAsia" w:ascii="楷体" w:hAnsi="楷体" w:eastAsia="楷体"/>
          <w:sz w:val="32"/>
          <w:szCs w:val="32"/>
        </w:rPr>
        <w:t>.</w:t>
      </w:r>
      <w:r>
        <w:rPr>
          <w:rFonts w:hint="eastAsia" w:ascii="宋体" w:hAnsi="宋体" w:eastAsia="仿宋_GB2312"/>
          <w:spacing w:val="-6"/>
          <w:sz w:val="32"/>
          <w:szCs w:val="32"/>
        </w:rPr>
        <w:t>加强交易中心内控建设。市、区县农交中心应制定内部章程、监督管理和风险管控制度，完善交易资金管理、财务管理、风险管理、纠纷调解、数据和档案管理、第三方服务行为等规则；建立工作人员廉洁合规从业承诺制度。</w:t>
      </w:r>
    </w:p>
    <w:p w14:paraId="2996E0EF">
      <w:pPr>
        <w:spacing w:line="600" w:lineRule="exact"/>
        <w:ind w:firstLine="595" w:firstLineChars="186"/>
        <w:rPr>
          <w:rFonts w:ascii="宋体" w:hAnsi="宋体" w:eastAsia="仿宋_GB2312"/>
          <w:sz w:val="32"/>
          <w:szCs w:val="32"/>
          <w:highlight w:val="yellow"/>
        </w:rPr>
      </w:pPr>
      <w:r>
        <w:rPr>
          <w:rFonts w:ascii="Times New Roman" w:hAnsi="Times New Roman" w:eastAsia="楷体"/>
          <w:sz w:val="32"/>
          <w:szCs w:val="32"/>
        </w:rPr>
        <w:t>2</w:t>
      </w:r>
      <w:r>
        <w:rPr>
          <w:rFonts w:hint="eastAsia" w:ascii="楷体" w:hAnsi="楷体" w:eastAsia="楷体"/>
          <w:sz w:val="32"/>
          <w:szCs w:val="32"/>
        </w:rPr>
        <w:t>.</w:t>
      </w:r>
      <w:r>
        <w:rPr>
          <w:rFonts w:hint="eastAsia" w:ascii="宋体" w:hAnsi="宋体" w:eastAsia="仿宋_GB2312"/>
          <w:spacing w:val="-6"/>
          <w:sz w:val="32"/>
          <w:szCs w:val="32"/>
        </w:rPr>
        <w:t>建立信息报送和公开披露制度。市、区县农交中心应定期向本级农村产权交易监督管理机构报送经营数据和财务报表。市交易平台应公示交易品种与规则、交易制度规定、收费项目和收费标准、经营中发生的重大突发事件等信息。收费项目和收费标准在市、区县、镇（街道）交易场所显著位置公布。</w:t>
      </w:r>
    </w:p>
    <w:p w14:paraId="670BB435">
      <w:pPr>
        <w:spacing w:line="600" w:lineRule="exact"/>
        <w:ind w:firstLine="595" w:firstLineChars="186"/>
        <w:rPr>
          <w:rFonts w:ascii="宋体" w:hAnsi="宋体" w:eastAsia="仿宋_GB2312"/>
          <w:sz w:val="32"/>
          <w:szCs w:val="32"/>
        </w:rPr>
      </w:pPr>
      <w:r>
        <w:rPr>
          <w:rFonts w:ascii="Times New Roman" w:hAnsi="Times New Roman" w:eastAsia="楷体"/>
          <w:sz w:val="32"/>
          <w:szCs w:val="32"/>
        </w:rPr>
        <w:t>3</w:t>
      </w:r>
      <w:r>
        <w:rPr>
          <w:rFonts w:hint="eastAsia" w:ascii="楷体" w:hAnsi="楷体" w:eastAsia="楷体"/>
          <w:sz w:val="32"/>
          <w:szCs w:val="32"/>
        </w:rPr>
        <w:t>.</w:t>
      </w:r>
      <w:r>
        <w:rPr>
          <w:rFonts w:hint="eastAsia" w:ascii="宋体" w:hAnsi="宋体" w:eastAsia="仿宋_GB2312"/>
          <w:sz w:val="32"/>
          <w:szCs w:val="32"/>
        </w:rPr>
        <w:t>加强金融服务风险防控。</w:t>
      </w:r>
      <w:bookmarkStart w:id="3" w:name="_Hlk134005488"/>
      <w:r>
        <w:rPr>
          <w:rFonts w:hint="eastAsia" w:ascii="宋体" w:hAnsi="宋体" w:eastAsia="仿宋_GB2312"/>
          <w:sz w:val="32"/>
          <w:szCs w:val="32"/>
        </w:rPr>
        <w:t>严守非金融化、非证券化、非期货化底线</w:t>
      </w:r>
      <w:bookmarkEnd w:id="3"/>
      <w:r>
        <w:rPr>
          <w:rFonts w:hint="eastAsia" w:ascii="宋体" w:hAnsi="宋体" w:eastAsia="仿宋_GB2312"/>
          <w:sz w:val="32"/>
          <w:szCs w:val="32"/>
        </w:rPr>
        <w:t>，市、区县农交中心不得直接开展保险、信贷等业务。建立交易保证金管理制度，规范招标投标交易担保行为。日常交易资金应专户储存、专账核算、专款使用。</w:t>
      </w:r>
    </w:p>
    <w:p w14:paraId="2390AD71">
      <w:pPr>
        <w:spacing w:line="600" w:lineRule="exact"/>
        <w:ind w:firstLine="595" w:firstLineChars="186"/>
        <w:rPr>
          <w:rFonts w:ascii="宋体" w:hAnsi="宋体" w:eastAsia="仿宋_GB2312"/>
          <w:sz w:val="32"/>
          <w:szCs w:val="32"/>
        </w:rPr>
      </w:pPr>
      <w:r>
        <w:rPr>
          <w:rFonts w:ascii="Times New Roman" w:hAnsi="Times New Roman" w:eastAsia="楷体"/>
          <w:sz w:val="32"/>
          <w:szCs w:val="32"/>
        </w:rPr>
        <w:t>4</w:t>
      </w:r>
      <w:r>
        <w:rPr>
          <w:rFonts w:hint="eastAsia" w:ascii="楷体" w:hAnsi="楷体" w:eastAsia="楷体"/>
          <w:sz w:val="32"/>
          <w:szCs w:val="32"/>
        </w:rPr>
        <w:t>.</w:t>
      </w:r>
      <w:r>
        <w:rPr>
          <w:rFonts w:hint="eastAsia" w:ascii="宋体" w:hAnsi="宋体" w:eastAsia="仿宋_GB2312"/>
          <w:sz w:val="32"/>
          <w:szCs w:val="32"/>
        </w:rPr>
        <w:t>加强信息系统风险防控。市交易平台的建设与运维严格遵守有关法律法规规定，健全交易系统日常维护、运行监测、数据备份机制，以及全流程“防泄露、防篡改、防攻击” 数据安全保障机制。严禁非法处理交易主体个人信息。</w:t>
      </w:r>
    </w:p>
    <w:p w14:paraId="36BAAC0E">
      <w:pPr>
        <w:spacing w:line="600" w:lineRule="exact"/>
        <w:ind w:firstLine="595" w:firstLineChars="186"/>
        <w:rPr>
          <w:rFonts w:ascii="黑体" w:hAnsi="黑体" w:eastAsia="黑体"/>
          <w:sz w:val="32"/>
          <w:szCs w:val="32"/>
        </w:rPr>
      </w:pPr>
      <w:r>
        <w:rPr>
          <w:rFonts w:hint="eastAsia" w:ascii="黑体" w:hAnsi="黑体" w:eastAsia="黑体"/>
          <w:sz w:val="32"/>
          <w:szCs w:val="32"/>
        </w:rPr>
        <w:t>三、保障措施</w:t>
      </w:r>
    </w:p>
    <w:p w14:paraId="71380129">
      <w:pPr>
        <w:spacing w:line="600" w:lineRule="exact"/>
        <w:ind w:firstLine="640" w:firstLineChars="200"/>
        <w:rPr>
          <w:rFonts w:ascii="楷体_GB2312" w:hAnsi="宋体" w:eastAsia="楷体_GB2312"/>
          <w:sz w:val="32"/>
          <w:szCs w:val="32"/>
        </w:rPr>
      </w:pPr>
      <w:r>
        <w:rPr>
          <w:rFonts w:hint="eastAsia" w:ascii="楷体_GB2312" w:hAnsi="宋体" w:eastAsia="楷体_GB2312"/>
          <w:sz w:val="32"/>
          <w:szCs w:val="32"/>
        </w:rPr>
        <w:t>（一）加强组织领导</w:t>
      </w:r>
      <w:bookmarkStart w:id="4" w:name="OLE_LINK1"/>
      <w:bookmarkStart w:id="5" w:name="OLE_LINK2"/>
    </w:p>
    <w:p w14:paraId="032A0EA3">
      <w:pPr>
        <w:spacing w:line="600" w:lineRule="exact"/>
        <w:ind w:firstLine="595" w:firstLineChars="186"/>
        <w:rPr>
          <w:rFonts w:ascii="宋体" w:hAnsi="宋体" w:eastAsia="仿宋_GB2312"/>
          <w:sz w:val="32"/>
          <w:szCs w:val="32"/>
        </w:rPr>
      </w:pPr>
      <w:r>
        <w:rPr>
          <w:rFonts w:hint="eastAsia" w:ascii="宋体" w:hAnsi="宋体" w:eastAsia="仿宋_GB2312"/>
          <w:sz w:val="32"/>
          <w:szCs w:val="32"/>
        </w:rPr>
        <w:t>市公共资源交易综合管理工作联席会议</w:t>
      </w:r>
      <w:bookmarkEnd w:id="4"/>
      <w:bookmarkEnd w:id="5"/>
      <w:r>
        <w:rPr>
          <w:rFonts w:hint="eastAsia" w:ascii="宋体" w:hAnsi="宋体" w:eastAsia="仿宋_GB2312"/>
          <w:sz w:val="32"/>
          <w:szCs w:val="32"/>
        </w:rPr>
        <w:t>承担全市农村产权流转交易组织协调、政策制定等职责，对交易进行指导和监管。市农业农村局发挥牵头组织协调作用，承担会议召集、沟通联络、督促落实等职责。联席会议其他成员单位按照职责分工指导交易行为规范完善。</w:t>
      </w:r>
      <w:r>
        <w:rPr>
          <w:rFonts w:hint="eastAsia" w:ascii="宋体" w:hAnsi="宋体" w:eastAsia="仿宋_GB2312"/>
          <w:spacing w:val="-6"/>
          <w:sz w:val="32"/>
          <w:szCs w:val="32"/>
        </w:rPr>
        <w:t>各区县结合本辖区实际建立健全农村产权流转交易监督管理工作机制。加强宣传引导，广泛宣传农村产权流转交易的公益属性、服务定位和便民优势。</w:t>
      </w:r>
    </w:p>
    <w:p w14:paraId="517C9FFD">
      <w:pPr>
        <w:spacing w:line="600" w:lineRule="exact"/>
        <w:ind w:firstLine="640" w:firstLineChars="200"/>
        <w:outlineLvl w:val="0"/>
        <w:rPr>
          <w:rFonts w:ascii="楷体_GB2312" w:hAnsi="宋体" w:eastAsia="楷体_GB2312"/>
          <w:sz w:val="32"/>
          <w:szCs w:val="32"/>
        </w:rPr>
      </w:pPr>
      <w:r>
        <w:rPr>
          <w:rFonts w:hint="eastAsia" w:ascii="楷体_GB2312" w:hAnsi="宋体" w:eastAsia="楷体_GB2312"/>
          <w:sz w:val="32"/>
          <w:szCs w:val="32"/>
        </w:rPr>
        <w:t>（二）加强政策支持</w:t>
      </w:r>
    </w:p>
    <w:p w14:paraId="62921463">
      <w:pPr>
        <w:spacing w:line="600" w:lineRule="exact"/>
        <w:ind w:firstLine="595" w:firstLineChars="186"/>
        <w:rPr>
          <w:rFonts w:ascii="宋体" w:hAnsi="宋体" w:eastAsia="仿宋_GB2312"/>
          <w:sz w:val="32"/>
          <w:szCs w:val="32"/>
        </w:rPr>
      </w:pPr>
      <w:r>
        <w:rPr>
          <w:rFonts w:hint="eastAsia" w:ascii="宋体" w:hAnsi="宋体" w:eastAsia="仿宋_GB2312"/>
          <w:sz w:val="32"/>
          <w:szCs w:val="32"/>
        </w:rPr>
        <w:t>探索建立市场化收费制度</w:t>
      </w:r>
      <w:r>
        <w:rPr>
          <w:rFonts w:hint="eastAsia" w:ascii="宋体" w:hAnsi="宋体" w:eastAsia="仿宋_GB2312"/>
          <w:color w:val="000000" w:themeColor="text1"/>
          <w:sz w:val="32"/>
          <w:szCs w:val="32"/>
          <w14:textFill>
            <w14:solidFill>
              <w14:schemeClr w14:val="tx1"/>
            </w14:solidFill>
          </w14:textFill>
        </w:rPr>
        <w:t>。</w:t>
      </w:r>
      <w:r>
        <w:rPr>
          <w:rFonts w:hint="eastAsia" w:ascii="宋体" w:hAnsi="宋体" w:eastAsia="仿宋_GB2312"/>
          <w:sz w:val="32"/>
          <w:szCs w:val="32"/>
        </w:rPr>
        <w:t>完善政府购买公益性服务、公益性业务奖补等支持政策</w:t>
      </w:r>
      <w:r>
        <w:rPr>
          <w:rFonts w:hint="eastAsia" w:ascii="宋体" w:hAnsi="宋体" w:eastAsia="仿宋_GB2312"/>
          <w:color w:val="000000" w:themeColor="text1"/>
          <w:sz w:val="32"/>
          <w:szCs w:val="32"/>
          <w14:textFill>
            <w14:solidFill>
              <w14:schemeClr w14:val="tx1"/>
            </w14:solidFill>
          </w14:textFill>
        </w:rPr>
        <w:t>。</w:t>
      </w:r>
      <w:r>
        <w:rPr>
          <w:rFonts w:ascii="宋体" w:hAnsi="宋体" w:eastAsia="仿宋_GB2312"/>
          <w:sz w:val="32"/>
          <w:szCs w:val="32"/>
        </w:rPr>
        <w:t>2026</w:t>
      </w:r>
      <w:r>
        <w:rPr>
          <w:rFonts w:hint="eastAsia" w:ascii="宋体" w:hAnsi="宋体" w:eastAsia="仿宋_GB2312"/>
          <w:sz w:val="32"/>
          <w:szCs w:val="32"/>
        </w:rPr>
        <w:t>—</w:t>
      </w:r>
      <w:r>
        <w:rPr>
          <w:rFonts w:ascii="宋体" w:hAnsi="宋体" w:eastAsia="仿宋_GB2312"/>
          <w:sz w:val="32"/>
          <w:szCs w:val="32"/>
        </w:rPr>
        <w:t>2030</w:t>
      </w:r>
      <w:r>
        <w:rPr>
          <w:rFonts w:hint="eastAsia" w:ascii="宋体" w:hAnsi="宋体" w:eastAsia="仿宋_GB2312"/>
          <w:sz w:val="32"/>
          <w:szCs w:val="32"/>
        </w:rPr>
        <w:t>年，对“应进必进”交易项目出让方所免收的交易服务费，农村土地经营权流转交易项目受让方为农户、家庭农场、农民合作社</w:t>
      </w:r>
      <w:r>
        <w:rPr>
          <w:rFonts w:hint="eastAsia" w:ascii="宋体" w:hAnsi="宋体" w:eastAsia="仿宋_GB2312"/>
          <w:color w:val="000000" w:themeColor="text1"/>
          <w:sz w:val="32"/>
          <w:szCs w:val="32"/>
          <w14:textFill>
            <w14:solidFill>
              <w14:schemeClr w14:val="tx1"/>
            </w14:solidFill>
          </w14:textFill>
        </w:rPr>
        <w:t>、农村集体经济组织所免收的交易服务</w:t>
      </w:r>
      <w:r>
        <w:rPr>
          <w:rFonts w:hint="eastAsia" w:ascii="宋体" w:hAnsi="宋体" w:eastAsia="仿宋_GB2312"/>
          <w:sz w:val="32"/>
          <w:szCs w:val="32"/>
        </w:rPr>
        <w:t>费，平台运营费等相关费用，由市级财政给予市农交中心每年</w:t>
      </w:r>
      <w:r>
        <w:rPr>
          <w:rFonts w:ascii="宋体" w:hAnsi="宋体" w:eastAsia="仿宋_GB2312"/>
          <w:sz w:val="32"/>
          <w:szCs w:val="32"/>
        </w:rPr>
        <w:t>500</w:t>
      </w:r>
      <w:r>
        <w:rPr>
          <w:rFonts w:hint="eastAsia" w:ascii="宋体" w:hAnsi="宋体" w:eastAsia="仿宋_GB2312"/>
          <w:sz w:val="32"/>
          <w:szCs w:val="32"/>
        </w:rPr>
        <w:t>万元奖补资金支持。各区县财政结合实际对本级交易中心建设运营给予支持。</w:t>
      </w:r>
    </w:p>
    <w:p w14:paraId="39137069">
      <w:pPr>
        <w:spacing w:line="600" w:lineRule="exact"/>
        <w:ind w:firstLine="595" w:firstLineChars="186"/>
        <w:rPr>
          <w:rFonts w:ascii="楷体_GB2312" w:hAnsi="宋体" w:eastAsia="楷体_GB2312"/>
          <w:sz w:val="32"/>
          <w:szCs w:val="32"/>
        </w:rPr>
      </w:pPr>
      <w:r>
        <w:rPr>
          <w:rFonts w:hint="eastAsia" w:ascii="楷体_GB2312" w:hAnsi="宋体" w:eastAsia="楷体_GB2312"/>
          <w:sz w:val="32"/>
          <w:szCs w:val="32"/>
        </w:rPr>
        <w:t>（三）加强交易监管</w:t>
      </w:r>
    </w:p>
    <w:p w14:paraId="055A2B56">
      <w:pPr>
        <w:spacing w:line="600" w:lineRule="exact"/>
        <w:ind w:firstLine="595" w:firstLineChars="186"/>
        <w:rPr>
          <w:rFonts w:ascii="宋体" w:hAnsi="宋体" w:eastAsia="仿宋_GB2312"/>
          <w:sz w:val="32"/>
          <w:szCs w:val="32"/>
        </w:rPr>
      </w:pPr>
      <w:r>
        <w:rPr>
          <w:rFonts w:hint="eastAsia" w:ascii="仿宋_GB2312" w:hAnsi="宋体" w:eastAsia="仿宋_GB2312"/>
          <w:color w:val="000000" w:themeColor="text1"/>
          <w:sz w:val="32"/>
          <w:szCs w:val="32"/>
          <w14:textFill>
            <w14:solidFill>
              <w14:schemeClr w14:val="tx1"/>
            </w14:solidFill>
          </w14:textFill>
        </w:rPr>
        <w:t>市公共资源交易综合管理工作联席会议要进一步健全完善议事规则、年度评估、监管程序等规章制度，充分运用现代信息技术手段，</w:t>
      </w:r>
      <w:r>
        <w:rPr>
          <w:rFonts w:hint="eastAsia" w:ascii="宋体" w:hAnsi="宋体" w:eastAsia="仿宋_GB2312"/>
          <w:color w:val="000000" w:themeColor="text1"/>
          <w:sz w:val="32"/>
          <w:szCs w:val="32"/>
          <w14:textFill>
            <w14:solidFill>
              <w14:schemeClr w14:val="tx1"/>
            </w14:solidFill>
          </w14:textFill>
        </w:rPr>
        <w:t>加强</w:t>
      </w:r>
      <w:r>
        <w:rPr>
          <w:rFonts w:hint="eastAsia" w:ascii="宋体" w:hAnsi="宋体" w:eastAsia="仿宋_GB2312"/>
          <w:sz w:val="32"/>
          <w:szCs w:val="32"/>
        </w:rPr>
        <w:t>对全市农村产权流转交易的动态监测，及时查处各类违法违规交易和容易引发金融风险隐患的行为。各区县要密切关注新情况新问题，加强分析研判，及时妥善处理，遇到重大问题及时向市农业农村局报告。</w:t>
      </w:r>
    </w:p>
    <w:sectPr>
      <w:footerReference r:id="rId3" w:type="default"/>
      <w:pgSz w:w="11906" w:h="16838"/>
      <w:pgMar w:top="1418" w:right="1758" w:bottom="1418" w:left="1758" w:header="851" w:footer="1361" w:gutter="0"/>
      <w:pgNumType w:start="1"/>
      <w:cols w:space="720" w:num="1"/>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EFD653F-B550-406E-985E-F5A1E0A3CFA7}"/>
  </w:font>
  <w:font w:name="Arial">
    <w:panose1 w:val="020B0604020202020204"/>
    <w:charset w:val="01"/>
    <w:family w:val="swiss"/>
    <w:pitch w:val="default"/>
    <w:sig w:usb0="E0002EFF" w:usb1="C000785B" w:usb2="00000009" w:usb3="00000000" w:csb0="400001FF" w:csb1="FFFF0000"/>
    <w:embedRegular r:id="rId2" w:fontKey="{D7377F51-4F60-4C52-8113-77048F7A6B08}"/>
  </w:font>
  <w:font w:name="黑体">
    <w:panose1 w:val="02010609060101010101"/>
    <w:charset w:val="86"/>
    <w:family w:val="auto"/>
    <w:pitch w:val="default"/>
    <w:sig w:usb0="800002BF" w:usb1="38CF7CFA" w:usb2="00000016" w:usb3="00000000" w:csb0="00040001" w:csb1="00000000"/>
    <w:embedRegular r:id="rId3" w:fontKey="{48816FEF-3130-4EB6-8E0F-C6CCBDD20A7E}"/>
  </w:font>
  <w:font w:name="Courier New">
    <w:panose1 w:val="02070309020205020404"/>
    <w:charset w:val="01"/>
    <w:family w:val="modern"/>
    <w:pitch w:val="default"/>
    <w:sig w:usb0="E0002EFF" w:usb1="C0007843" w:usb2="00000009" w:usb3="00000000" w:csb0="400001FF" w:csb1="FFFF0000"/>
    <w:embedRegular r:id="rId4" w:fontKey="{C29A1078-892A-4D57-A44F-DE08817FFF33}"/>
  </w:font>
  <w:font w:name="Symbol">
    <w:panose1 w:val="05050102010706020507"/>
    <w:charset w:val="02"/>
    <w:family w:val="roman"/>
    <w:pitch w:val="default"/>
    <w:sig w:usb0="00000000" w:usb1="00000000" w:usb2="00000000" w:usb3="00000000" w:csb0="80000000" w:csb1="00000000"/>
    <w:embedRegular r:id="rId5" w:fontKey="{2E0B8843-FAFB-42EC-AF81-322557ECCA1E}"/>
  </w:font>
  <w:font w:name="Calibri">
    <w:panose1 w:val="020F0502020204030204"/>
    <w:charset w:val="00"/>
    <w:family w:val="swiss"/>
    <w:pitch w:val="default"/>
    <w:sig w:usb0="E4002EFF" w:usb1="C200247B" w:usb2="00000009" w:usb3="00000000" w:csb0="200001FF" w:csb1="00000000"/>
    <w:embedRegular r:id="rId6" w:fontKey="{085618F3-50DD-4D97-92D3-F3D06FB584D9}"/>
  </w:font>
  <w:font w:name="Cambria">
    <w:panose1 w:val="02040503050406030204"/>
    <w:charset w:val="00"/>
    <w:family w:val="roman"/>
    <w:pitch w:val="default"/>
    <w:sig w:usb0="E00006FF" w:usb1="420024FF" w:usb2="02000000" w:usb3="00000000" w:csb0="2000019F" w:csb1="00000000"/>
    <w:embedRegular r:id="rId7" w:fontKey="{FA63A862-C67E-4DED-8150-B0DC03A7F895}"/>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8" w:fontKey="{9A6E4642-5361-4216-A8F1-12AEC5CC7FFA}"/>
  </w:font>
  <w:font w:name="仿宋">
    <w:panose1 w:val="02010609060101010101"/>
    <w:charset w:val="86"/>
    <w:family w:val="modern"/>
    <w:pitch w:val="default"/>
    <w:sig w:usb0="800002BF" w:usb1="38CF7CFA" w:usb2="00000016" w:usb3="00000000" w:csb0="00040001" w:csb1="00000000"/>
  </w:font>
  <w:font w:name="方正小标宋简体">
    <w:panose1 w:val="02010600010101010101"/>
    <w:charset w:val="86"/>
    <w:family w:val="auto"/>
    <w:pitch w:val="default"/>
    <w:sig w:usb0="00000001" w:usb1="080E0000" w:usb2="00000000" w:usb3="00000000" w:csb0="00040000" w:csb1="00000000"/>
    <w:embedRegular r:id="rId9" w:fontKey="{7DDAE012-5FA4-4D10-B8D1-54DA8F5DA187}"/>
  </w:font>
  <w:font w:name="楷体_GB2312">
    <w:panose1 w:val="02010609030101010101"/>
    <w:charset w:val="86"/>
    <w:family w:val="modern"/>
    <w:pitch w:val="default"/>
    <w:sig w:usb0="00000001" w:usb1="080E0000" w:usb2="00000000" w:usb3="00000000" w:csb0="00040000" w:csb1="00000000"/>
    <w:embedRegular r:id="rId10" w:fontKey="{65AD7EB5-260F-410D-B1EE-F59EE87198B4}"/>
  </w:font>
  <w:font w:name="楷体">
    <w:panose1 w:val="02010609060101010101"/>
    <w:charset w:val="86"/>
    <w:family w:val="modern"/>
    <w:pitch w:val="default"/>
    <w:sig w:usb0="800002BF" w:usb1="38CF7CFA" w:usb2="00000016" w:usb3="00000000" w:csb0="00040001" w:csb1="00000000"/>
    <w:embedRegular r:id="rId11" w:fontKey="{77A492E5-DEA8-47CC-B4E8-6BA3B046AA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56001230"/>
    </w:sdtPr>
    <w:sdtEndPr>
      <w:rPr>
        <w:rFonts w:ascii="Times New Roman" w:hAnsi="Times New Roman"/>
        <w:sz w:val="28"/>
        <w:szCs w:val="28"/>
      </w:rPr>
    </w:sdtEndPr>
    <w:sdtContent>
      <w:p w14:paraId="3319D892">
        <w:pPr>
          <w:pStyle w:val="11"/>
          <w:jc w:val="center"/>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8</w:t>
        </w:r>
        <w:r>
          <w:rPr>
            <w:rFonts w:ascii="Times New Roman" w:hAnsi="Times New Roman"/>
            <w:sz w:val="28"/>
            <w:szCs w:val="28"/>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7C71CE"/>
    <w:multiLevelType w:val="singleLevel"/>
    <w:tmpl w:val="E47C71CE"/>
    <w:lvl w:ilvl="0" w:tentative="0">
      <w:start w:val="1"/>
      <w:numFmt w:val="chineseCounting"/>
      <w:pStyle w:val="69"/>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F59"/>
    <w:rsid w:val="00000090"/>
    <w:rsid w:val="00000395"/>
    <w:rsid w:val="000005A7"/>
    <w:rsid w:val="00002834"/>
    <w:rsid w:val="00003438"/>
    <w:rsid w:val="00003E86"/>
    <w:rsid w:val="00004151"/>
    <w:rsid w:val="00004346"/>
    <w:rsid w:val="00004AC7"/>
    <w:rsid w:val="00005198"/>
    <w:rsid w:val="00005352"/>
    <w:rsid w:val="0000547C"/>
    <w:rsid w:val="00007814"/>
    <w:rsid w:val="00007E67"/>
    <w:rsid w:val="00010156"/>
    <w:rsid w:val="000105D5"/>
    <w:rsid w:val="00010A20"/>
    <w:rsid w:val="000113BF"/>
    <w:rsid w:val="0001341C"/>
    <w:rsid w:val="000136E3"/>
    <w:rsid w:val="00014514"/>
    <w:rsid w:val="00014FC1"/>
    <w:rsid w:val="00015537"/>
    <w:rsid w:val="0001560B"/>
    <w:rsid w:val="00015CA5"/>
    <w:rsid w:val="00016802"/>
    <w:rsid w:val="0001690E"/>
    <w:rsid w:val="00016D4E"/>
    <w:rsid w:val="00017C90"/>
    <w:rsid w:val="00020D9C"/>
    <w:rsid w:val="00022074"/>
    <w:rsid w:val="000224E2"/>
    <w:rsid w:val="00022E8F"/>
    <w:rsid w:val="00023286"/>
    <w:rsid w:val="000247C8"/>
    <w:rsid w:val="0002480B"/>
    <w:rsid w:val="00024BD3"/>
    <w:rsid w:val="000256D6"/>
    <w:rsid w:val="00025DED"/>
    <w:rsid w:val="00026445"/>
    <w:rsid w:val="00026CBB"/>
    <w:rsid w:val="0002774B"/>
    <w:rsid w:val="00027B59"/>
    <w:rsid w:val="00030FDC"/>
    <w:rsid w:val="000332F3"/>
    <w:rsid w:val="00033354"/>
    <w:rsid w:val="00034439"/>
    <w:rsid w:val="000344FF"/>
    <w:rsid w:val="000347DC"/>
    <w:rsid w:val="00034AD7"/>
    <w:rsid w:val="0003667F"/>
    <w:rsid w:val="00036C14"/>
    <w:rsid w:val="000378C7"/>
    <w:rsid w:val="00037C72"/>
    <w:rsid w:val="00040E9A"/>
    <w:rsid w:val="000414C0"/>
    <w:rsid w:val="00041861"/>
    <w:rsid w:val="00041A52"/>
    <w:rsid w:val="0004206C"/>
    <w:rsid w:val="00042F16"/>
    <w:rsid w:val="000436DE"/>
    <w:rsid w:val="00044673"/>
    <w:rsid w:val="00045377"/>
    <w:rsid w:val="000454B8"/>
    <w:rsid w:val="00045D10"/>
    <w:rsid w:val="00045D8D"/>
    <w:rsid w:val="0004612C"/>
    <w:rsid w:val="00046ADC"/>
    <w:rsid w:val="00047A62"/>
    <w:rsid w:val="00047C46"/>
    <w:rsid w:val="00051D03"/>
    <w:rsid w:val="00052CA2"/>
    <w:rsid w:val="00052CE6"/>
    <w:rsid w:val="000534F1"/>
    <w:rsid w:val="00053D94"/>
    <w:rsid w:val="00053DBB"/>
    <w:rsid w:val="00054EC9"/>
    <w:rsid w:val="00054F5C"/>
    <w:rsid w:val="00056019"/>
    <w:rsid w:val="0005617E"/>
    <w:rsid w:val="00057452"/>
    <w:rsid w:val="00060AD9"/>
    <w:rsid w:val="00060FE4"/>
    <w:rsid w:val="0006159F"/>
    <w:rsid w:val="000617C2"/>
    <w:rsid w:val="00061B19"/>
    <w:rsid w:val="00061DCC"/>
    <w:rsid w:val="0006394C"/>
    <w:rsid w:val="00063A59"/>
    <w:rsid w:val="00063C07"/>
    <w:rsid w:val="00064B06"/>
    <w:rsid w:val="000660DF"/>
    <w:rsid w:val="00066D51"/>
    <w:rsid w:val="000674E5"/>
    <w:rsid w:val="000675DF"/>
    <w:rsid w:val="00067FB8"/>
    <w:rsid w:val="00070A01"/>
    <w:rsid w:val="00071109"/>
    <w:rsid w:val="00071376"/>
    <w:rsid w:val="0007239F"/>
    <w:rsid w:val="00072AC4"/>
    <w:rsid w:val="00072F3E"/>
    <w:rsid w:val="000730F2"/>
    <w:rsid w:val="000742B2"/>
    <w:rsid w:val="0007452C"/>
    <w:rsid w:val="000750F7"/>
    <w:rsid w:val="00075B2E"/>
    <w:rsid w:val="00075D17"/>
    <w:rsid w:val="0007698F"/>
    <w:rsid w:val="00076CB4"/>
    <w:rsid w:val="00076EE3"/>
    <w:rsid w:val="00077765"/>
    <w:rsid w:val="00081EA2"/>
    <w:rsid w:val="00082C25"/>
    <w:rsid w:val="000839E8"/>
    <w:rsid w:val="00083B31"/>
    <w:rsid w:val="000843DD"/>
    <w:rsid w:val="00084554"/>
    <w:rsid w:val="0008487E"/>
    <w:rsid w:val="00085D34"/>
    <w:rsid w:val="000862D5"/>
    <w:rsid w:val="00086D2D"/>
    <w:rsid w:val="00087A1D"/>
    <w:rsid w:val="00090622"/>
    <w:rsid w:val="00090B8E"/>
    <w:rsid w:val="000912D9"/>
    <w:rsid w:val="0009184C"/>
    <w:rsid w:val="00092248"/>
    <w:rsid w:val="00092A16"/>
    <w:rsid w:val="00092C8B"/>
    <w:rsid w:val="00094067"/>
    <w:rsid w:val="000941B6"/>
    <w:rsid w:val="000942D8"/>
    <w:rsid w:val="00094C5E"/>
    <w:rsid w:val="00096878"/>
    <w:rsid w:val="0009700A"/>
    <w:rsid w:val="00097A1E"/>
    <w:rsid w:val="000A0107"/>
    <w:rsid w:val="000A028D"/>
    <w:rsid w:val="000A0E52"/>
    <w:rsid w:val="000A2800"/>
    <w:rsid w:val="000A2D03"/>
    <w:rsid w:val="000A2E46"/>
    <w:rsid w:val="000A2F7B"/>
    <w:rsid w:val="000A4B21"/>
    <w:rsid w:val="000A57B4"/>
    <w:rsid w:val="000A58C2"/>
    <w:rsid w:val="000A5A80"/>
    <w:rsid w:val="000A767D"/>
    <w:rsid w:val="000B012F"/>
    <w:rsid w:val="000B08A6"/>
    <w:rsid w:val="000B1DA5"/>
    <w:rsid w:val="000B28D7"/>
    <w:rsid w:val="000B2D14"/>
    <w:rsid w:val="000B3030"/>
    <w:rsid w:val="000B54DA"/>
    <w:rsid w:val="000B5D13"/>
    <w:rsid w:val="000B613F"/>
    <w:rsid w:val="000B68B0"/>
    <w:rsid w:val="000B7F78"/>
    <w:rsid w:val="000C03A2"/>
    <w:rsid w:val="000C0A63"/>
    <w:rsid w:val="000C0A6C"/>
    <w:rsid w:val="000C0C7A"/>
    <w:rsid w:val="000C1773"/>
    <w:rsid w:val="000C1C25"/>
    <w:rsid w:val="000C2258"/>
    <w:rsid w:val="000C289B"/>
    <w:rsid w:val="000C2DBE"/>
    <w:rsid w:val="000C43D8"/>
    <w:rsid w:val="000C4661"/>
    <w:rsid w:val="000C4A63"/>
    <w:rsid w:val="000C4D17"/>
    <w:rsid w:val="000C4E5C"/>
    <w:rsid w:val="000C5314"/>
    <w:rsid w:val="000C57E8"/>
    <w:rsid w:val="000C5E69"/>
    <w:rsid w:val="000C62EB"/>
    <w:rsid w:val="000C655B"/>
    <w:rsid w:val="000C6CD2"/>
    <w:rsid w:val="000C6E9F"/>
    <w:rsid w:val="000C6EBA"/>
    <w:rsid w:val="000C7067"/>
    <w:rsid w:val="000C75A9"/>
    <w:rsid w:val="000C7AC4"/>
    <w:rsid w:val="000C7DAB"/>
    <w:rsid w:val="000C7E44"/>
    <w:rsid w:val="000D0CDC"/>
    <w:rsid w:val="000D0D93"/>
    <w:rsid w:val="000D1180"/>
    <w:rsid w:val="000D17DF"/>
    <w:rsid w:val="000D18AB"/>
    <w:rsid w:val="000D2358"/>
    <w:rsid w:val="000D256C"/>
    <w:rsid w:val="000D31E6"/>
    <w:rsid w:val="000D4092"/>
    <w:rsid w:val="000D5822"/>
    <w:rsid w:val="000D59CA"/>
    <w:rsid w:val="000D5DED"/>
    <w:rsid w:val="000D6065"/>
    <w:rsid w:val="000D6C09"/>
    <w:rsid w:val="000D7565"/>
    <w:rsid w:val="000D766D"/>
    <w:rsid w:val="000E0569"/>
    <w:rsid w:val="000E0628"/>
    <w:rsid w:val="000E0F59"/>
    <w:rsid w:val="000E1113"/>
    <w:rsid w:val="000E2145"/>
    <w:rsid w:val="000E2387"/>
    <w:rsid w:val="000E26A2"/>
    <w:rsid w:val="000E27B6"/>
    <w:rsid w:val="000E5128"/>
    <w:rsid w:val="000E51C2"/>
    <w:rsid w:val="000E5642"/>
    <w:rsid w:val="000E5A55"/>
    <w:rsid w:val="000E5D1F"/>
    <w:rsid w:val="000E5D8A"/>
    <w:rsid w:val="000E6BB1"/>
    <w:rsid w:val="000E6DB3"/>
    <w:rsid w:val="000E73F9"/>
    <w:rsid w:val="000E7AB6"/>
    <w:rsid w:val="000F1BFE"/>
    <w:rsid w:val="000F2945"/>
    <w:rsid w:val="000F3E62"/>
    <w:rsid w:val="000F487A"/>
    <w:rsid w:val="000F527F"/>
    <w:rsid w:val="000F5679"/>
    <w:rsid w:val="000F5E20"/>
    <w:rsid w:val="000F64AF"/>
    <w:rsid w:val="000F6AEB"/>
    <w:rsid w:val="000F74F6"/>
    <w:rsid w:val="00100545"/>
    <w:rsid w:val="001009F5"/>
    <w:rsid w:val="00100B25"/>
    <w:rsid w:val="001017CB"/>
    <w:rsid w:val="00101E8E"/>
    <w:rsid w:val="0010240B"/>
    <w:rsid w:val="001029C5"/>
    <w:rsid w:val="001031D1"/>
    <w:rsid w:val="00103260"/>
    <w:rsid w:val="00103B7A"/>
    <w:rsid w:val="00103CE7"/>
    <w:rsid w:val="00104E59"/>
    <w:rsid w:val="0010518A"/>
    <w:rsid w:val="001072D1"/>
    <w:rsid w:val="0011016B"/>
    <w:rsid w:val="001115DB"/>
    <w:rsid w:val="00111725"/>
    <w:rsid w:val="001118EE"/>
    <w:rsid w:val="00111C6A"/>
    <w:rsid w:val="001121F0"/>
    <w:rsid w:val="00112D6F"/>
    <w:rsid w:val="00113712"/>
    <w:rsid w:val="00113C46"/>
    <w:rsid w:val="00113D71"/>
    <w:rsid w:val="001155F7"/>
    <w:rsid w:val="001156F0"/>
    <w:rsid w:val="001161C1"/>
    <w:rsid w:val="001163AA"/>
    <w:rsid w:val="00117BF9"/>
    <w:rsid w:val="00117E24"/>
    <w:rsid w:val="001208BC"/>
    <w:rsid w:val="00120ADB"/>
    <w:rsid w:val="0012179A"/>
    <w:rsid w:val="00121CF5"/>
    <w:rsid w:val="001244D7"/>
    <w:rsid w:val="001245A5"/>
    <w:rsid w:val="00125036"/>
    <w:rsid w:val="001257A4"/>
    <w:rsid w:val="00125ACD"/>
    <w:rsid w:val="0012617E"/>
    <w:rsid w:val="00127DF5"/>
    <w:rsid w:val="00130443"/>
    <w:rsid w:val="00130C11"/>
    <w:rsid w:val="001313AC"/>
    <w:rsid w:val="00131493"/>
    <w:rsid w:val="00131A65"/>
    <w:rsid w:val="00132217"/>
    <w:rsid w:val="00132493"/>
    <w:rsid w:val="00132E7E"/>
    <w:rsid w:val="00133C43"/>
    <w:rsid w:val="00133E5E"/>
    <w:rsid w:val="001351BE"/>
    <w:rsid w:val="001353C9"/>
    <w:rsid w:val="00135C93"/>
    <w:rsid w:val="0013682E"/>
    <w:rsid w:val="00136AE5"/>
    <w:rsid w:val="001376CE"/>
    <w:rsid w:val="00140263"/>
    <w:rsid w:val="00140BD1"/>
    <w:rsid w:val="00142895"/>
    <w:rsid w:val="001430C4"/>
    <w:rsid w:val="00143171"/>
    <w:rsid w:val="001434AE"/>
    <w:rsid w:val="00143644"/>
    <w:rsid w:val="0014414A"/>
    <w:rsid w:val="0014483C"/>
    <w:rsid w:val="00144AB3"/>
    <w:rsid w:val="00144B3A"/>
    <w:rsid w:val="00145320"/>
    <w:rsid w:val="001501DE"/>
    <w:rsid w:val="00150714"/>
    <w:rsid w:val="00151181"/>
    <w:rsid w:val="001511E3"/>
    <w:rsid w:val="001515F3"/>
    <w:rsid w:val="00151618"/>
    <w:rsid w:val="00152390"/>
    <w:rsid w:val="001524F2"/>
    <w:rsid w:val="0015358B"/>
    <w:rsid w:val="00154233"/>
    <w:rsid w:val="0015456E"/>
    <w:rsid w:val="0015487A"/>
    <w:rsid w:val="001553E8"/>
    <w:rsid w:val="001556D6"/>
    <w:rsid w:val="0015603A"/>
    <w:rsid w:val="0015661E"/>
    <w:rsid w:val="00156636"/>
    <w:rsid w:val="00156898"/>
    <w:rsid w:val="00156D58"/>
    <w:rsid w:val="00156FDA"/>
    <w:rsid w:val="00157E4B"/>
    <w:rsid w:val="0016007D"/>
    <w:rsid w:val="00160511"/>
    <w:rsid w:val="001618A5"/>
    <w:rsid w:val="00161D69"/>
    <w:rsid w:val="00162133"/>
    <w:rsid w:val="00162333"/>
    <w:rsid w:val="0016292C"/>
    <w:rsid w:val="001632D5"/>
    <w:rsid w:val="0016489B"/>
    <w:rsid w:val="00164A01"/>
    <w:rsid w:val="00164A7A"/>
    <w:rsid w:val="00164C5F"/>
    <w:rsid w:val="00164E70"/>
    <w:rsid w:val="00164EC2"/>
    <w:rsid w:val="0016565B"/>
    <w:rsid w:val="0016572B"/>
    <w:rsid w:val="00165A87"/>
    <w:rsid w:val="00166411"/>
    <w:rsid w:val="001667CC"/>
    <w:rsid w:val="0016779C"/>
    <w:rsid w:val="00167966"/>
    <w:rsid w:val="0017050E"/>
    <w:rsid w:val="001708F1"/>
    <w:rsid w:val="001712E9"/>
    <w:rsid w:val="00172104"/>
    <w:rsid w:val="00172913"/>
    <w:rsid w:val="001731BD"/>
    <w:rsid w:val="00173960"/>
    <w:rsid w:val="00173BD5"/>
    <w:rsid w:val="00173F2D"/>
    <w:rsid w:val="001744D0"/>
    <w:rsid w:val="00174C1A"/>
    <w:rsid w:val="00175026"/>
    <w:rsid w:val="001750BB"/>
    <w:rsid w:val="00175BE5"/>
    <w:rsid w:val="00175F23"/>
    <w:rsid w:val="00176DA3"/>
    <w:rsid w:val="0017714A"/>
    <w:rsid w:val="00180121"/>
    <w:rsid w:val="0018013B"/>
    <w:rsid w:val="00180366"/>
    <w:rsid w:val="00180438"/>
    <w:rsid w:val="0018051F"/>
    <w:rsid w:val="00180CE0"/>
    <w:rsid w:val="001814A8"/>
    <w:rsid w:val="00181567"/>
    <w:rsid w:val="00181A31"/>
    <w:rsid w:val="00181AFD"/>
    <w:rsid w:val="00182123"/>
    <w:rsid w:val="00182B59"/>
    <w:rsid w:val="00184583"/>
    <w:rsid w:val="00184DB3"/>
    <w:rsid w:val="0018526C"/>
    <w:rsid w:val="00186987"/>
    <w:rsid w:val="00187014"/>
    <w:rsid w:val="00187BFB"/>
    <w:rsid w:val="00190D55"/>
    <w:rsid w:val="0019158D"/>
    <w:rsid w:val="00191719"/>
    <w:rsid w:val="00192484"/>
    <w:rsid w:val="001926CA"/>
    <w:rsid w:val="00192920"/>
    <w:rsid w:val="00192E17"/>
    <w:rsid w:val="0019443D"/>
    <w:rsid w:val="001957D1"/>
    <w:rsid w:val="00196089"/>
    <w:rsid w:val="00196136"/>
    <w:rsid w:val="00196279"/>
    <w:rsid w:val="00196F72"/>
    <w:rsid w:val="001A06DE"/>
    <w:rsid w:val="001A0A3B"/>
    <w:rsid w:val="001A0CCE"/>
    <w:rsid w:val="001A261D"/>
    <w:rsid w:val="001A2C97"/>
    <w:rsid w:val="001A330A"/>
    <w:rsid w:val="001A45FF"/>
    <w:rsid w:val="001A4718"/>
    <w:rsid w:val="001A5AAC"/>
    <w:rsid w:val="001A5E83"/>
    <w:rsid w:val="001A6AF0"/>
    <w:rsid w:val="001A6D95"/>
    <w:rsid w:val="001A6DA0"/>
    <w:rsid w:val="001A75A0"/>
    <w:rsid w:val="001A7A58"/>
    <w:rsid w:val="001A7B8E"/>
    <w:rsid w:val="001B20E0"/>
    <w:rsid w:val="001B20E1"/>
    <w:rsid w:val="001B248D"/>
    <w:rsid w:val="001B2875"/>
    <w:rsid w:val="001B5206"/>
    <w:rsid w:val="001B7A1D"/>
    <w:rsid w:val="001B7BA1"/>
    <w:rsid w:val="001C00E6"/>
    <w:rsid w:val="001C0987"/>
    <w:rsid w:val="001C0A91"/>
    <w:rsid w:val="001C1AFC"/>
    <w:rsid w:val="001C202F"/>
    <w:rsid w:val="001C2A13"/>
    <w:rsid w:val="001C35B3"/>
    <w:rsid w:val="001C504D"/>
    <w:rsid w:val="001C5946"/>
    <w:rsid w:val="001C62E6"/>
    <w:rsid w:val="001D001F"/>
    <w:rsid w:val="001D0A8C"/>
    <w:rsid w:val="001D0B7A"/>
    <w:rsid w:val="001D1504"/>
    <w:rsid w:val="001D231F"/>
    <w:rsid w:val="001D2ACB"/>
    <w:rsid w:val="001D2CCC"/>
    <w:rsid w:val="001D344A"/>
    <w:rsid w:val="001D511D"/>
    <w:rsid w:val="001D52DF"/>
    <w:rsid w:val="001D5B0F"/>
    <w:rsid w:val="001D6824"/>
    <w:rsid w:val="001D781C"/>
    <w:rsid w:val="001D7AE7"/>
    <w:rsid w:val="001E1031"/>
    <w:rsid w:val="001E1352"/>
    <w:rsid w:val="001E2873"/>
    <w:rsid w:val="001E2AC0"/>
    <w:rsid w:val="001E2D9C"/>
    <w:rsid w:val="001E4663"/>
    <w:rsid w:val="001E5011"/>
    <w:rsid w:val="001E5035"/>
    <w:rsid w:val="001E578D"/>
    <w:rsid w:val="001E57F1"/>
    <w:rsid w:val="001E5E1B"/>
    <w:rsid w:val="001E6C9A"/>
    <w:rsid w:val="001F07AE"/>
    <w:rsid w:val="001F0875"/>
    <w:rsid w:val="001F0D29"/>
    <w:rsid w:val="001F15BA"/>
    <w:rsid w:val="001F24B4"/>
    <w:rsid w:val="001F25FB"/>
    <w:rsid w:val="001F2830"/>
    <w:rsid w:val="001F2FB1"/>
    <w:rsid w:val="001F396C"/>
    <w:rsid w:val="001F397B"/>
    <w:rsid w:val="001F4870"/>
    <w:rsid w:val="001F495C"/>
    <w:rsid w:val="001F4ADB"/>
    <w:rsid w:val="0020048C"/>
    <w:rsid w:val="00200C9D"/>
    <w:rsid w:val="002018A1"/>
    <w:rsid w:val="002022ED"/>
    <w:rsid w:val="00203481"/>
    <w:rsid w:val="00203878"/>
    <w:rsid w:val="00203AA2"/>
    <w:rsid w:val="00203C1E"/>
    <w:rsid w:val="00204607"/>
    <w:rsid w:val="00204B72"/>
    <w:rsid w:val="00205C5E"/>
    <w:rsid w:val="00205C60"/>
    <w:rsid w:val="0020616D"/>
    <w:rsid w:val="00207400"/>
    <w:rsid w:val="0020755A"/>
    <w:rsid w:val="002076E2"/>
    <w:rsid w:val="00207DCD"/>
    <w:rsid w:val="002111E0"/>
    <w:rsid w:val="0021154F"/>
    <w:rsid w:val="00212253"/>
    <w:rsid w:val="00214259"/>
    <w:rsid w:val="002159DE"/>
    <w:rsid w:val="0021671E"/>
    <w:rsid w:val="0021678D"/>
    <w:rsid w:val="0021744C"/>
    <w:rsid w:val="00220FBB"/>
    <w:rsid w:val="00221895"/>
    <w:rsid w:val="00221A50"/>
    <w:rsid w:val="00221B2E"/>
    <w:rsid w:val="00221F4F"/>
    <w:rsid w:val="00221F5D"/>
    <w:rsid w:val="00221F93"/>
    <w:rsid w:val="00222AB4"/>
    <w:rsid w:val="00222F05"/>
    <w:rsid w:val="00223AC0"/>
    <w:rsid w:val="00223AD2"/>
    <w:rsid w:val="00224371"/>
    <w:rsid w:val="002244F7"/>
    <w:rsid w:val="002251F5"/>
    <w:rsid w:val="002256C9"/>
    <w:rsid w:val="002256ED"/>
    <w:rsid w:val="00225721"/>
    <w:rsid w:val="002257CA"/>
    <w:rsid w:val="00225C27"/>
    <w:rsid w:val="002261A0"/>
    <w:rsid w:val="002264E5"/>
    <w:rsid w:val="00230A09"/>
    <w:rsid w:val="002319BA"/>
    <w:rsid w:val="00232502"/>
    <w:rsid w:val="00232F6E"/>
    <w:rsid w:val="002342AE"/>
    <w:rsid w:val="00235976"/>
    <w:rsid w:val="00236884"/>
    <w:rsid w:val="002375E8"/>
    <w:rsid w:val="002378D0"/>
    <w:rsid w:val="00237C65"/>
    <w:rsid w:val="00237D4C"/>
    <w:rsid w:val="002400C2"/>
    <w:rsid w:val="00240216"/>
    <w:rsid w:val="002406B7"/>
    <w:rsid w:val="00240799"/>
    <w:rsid w:val="002409A3"/>
    <w:rsid w:val="002439E5"/>
    <w:rsid w:val="00243AA3"/>
    <w:rsid w:val="00244642"/>
    <w:rsid w:val="00245C93"/>
    <w:rsid w:val="00246177"/>
    <w:rsid w:val="00246AAB"/>
    <w:rsid w:val="00246C1C"/>
    <w:rsid w:val="0024722F"/>
    <w:rsid w:val="0024745C"/>
    <w:rsid w:val="00250465"/>
    <w:rsid w:val="00250B58"/>
    <w:rsid w:val="0025206C"/>
    <w:rsid w:val="00252A39"/>
    <w:rsid w:val="00252B13"/>
    <w:rsid w:val="00252EFC"/>
    <w:rsid w:val="002532E5"/>
    <w:rsid w:val="002537A0"/>
    <w:rsid w:val="0025393A"/>
    <w:rsid w:val="002539AF"/>
    <w:rsid w:val="00253C3F"/>
    <w:rsid w:val="00253FD5"/>
    <w:rsid w:val="00254043"/>
    <w:rsid w:val="002547BD"/>
    <w:rsid w:val="00255191"/>
    <w:rsid w:val="0025567E"/>
    <w:rsid w:val="002569A5"/>
    <w:rsid w:val="002578EE"/>
    <w:rsid w:val="00257B62"/>
    <w:rsid w:val="00261147"/>
    <w:rsid w:val="002614BE"/>
    <w:rsid w:val="00261880"/>
    <w:rsid w:val="00261A58"/>
    <w:rsid w:val="002624E3"/>
    <w:rsid w:val="00263CFC"/>
    <w:rsid w:val="00264C5D"/>
    <w:rsid w:val="00265137"/>
    <w:rsid w:val="00265420"/>
    <w:rsid w:val="00265C87"/>
    <w:rsid w:val="00265C97"/>
    <w:rsid w:val="002661CE"/>
    <w:rsid w:val="002666CA"/>
    <w:rsid w:val="002669A3"/>
    <w:rsid w:val="00270B9A"/>
    <w:rsid w:val="00272183"/>
    <w:rsid w:val="00272206"/>
    <w:rsid w:val="00272558"/>
    <w:rsid w:val="00272E88"/>
    <w:rsid w:val="00273779"/>
    <w:rsid w:val="00274E9B"/>
    <w:rsid w:val="00275050"/>
    <w:rsid w:val="002755C4"/>
    <w:rsid w:val="00276547"/>
    <w:rsid w:val="00276950"/>
    <w:rsid w:val="0028046A"/>
    <w:rsid w:val="002804B0"/>
    <w:rsid w:val="00280A8E"/>
    <w:rsid w:val="00280BE5"/>
    <w:rsid w:val="00282498"/>
    <w:rsid w:val="0028329F"/>
    <w:rsid w:val="00283D2D"/>
    <w:rsid w:val="00284D4D"/>
    <w:rsid w:val="00285745"/>
    <w:rsid w:val="00286213"/>
    <w:rsid w:val="00290058"/>
    <w:rsid w:val="00290FAD"/>
    <w:rsid w:val="00291237"/>
    <w:rsid w:val="002912EB"/>
    <w:rsid w:val="002916CF"/>
    <w:rsid w:val="002924F2"/>
    <w:rsid w:val="00292504"/>
    <w:rsid w:val="00292B11"/>
    <w:rsid w:val="00292B5D"/>
    <w:rsid w:val="00292CC8"/>
    <w:rsid w:val="002935F6"/>
    <w:rsid w:val="0029510F"/>
    <w:rsid w:val="00296BF5"/>
    <w:rsid w:val="0029708B"/>
    <w:rsid w:val="002A00C3"/>
    <w:rsid w:val="002A0149"/>
    <w:rsid w:val="002A0E90"/>
    <w:rsid w:val="002A1392"/>
    <w:rsid w:val="002A15DE"/>
    <w:rsid w:val="002A1BAD"/>
    <w:rsid w:val="002A2492"/>
    <w:rsid w:val="002A28ED"/>
    <w:rsid w:val="002A2935"/>
    <w:rsid w:val="002A2C9D"/>
    <w:rsid w:val="002A468F"/>
    <w:rsid w:val="002A47DA"/>
    <w:rsid w:val="002A4C98"/>
    <w:rsid w:val="002A4F34"/>
    <w:rsid w:val="002A5261"/>
    <w:rsid w:val="002A56D5"/>
    <w:rsid w:val="002A6966"/>
    <w:rsid w:val="002B108E"/>
    <w:rsid w:val="002B12FB"/>
    <w:rsid w:val="002B23C0"/>
    <w:rsid w:val="002B2E4B"/>
    <w:rsid w:val="002B349C"/>
    <w:rsid w:val="002B437E"/>
    <w:rsid w:val="002B4C35"/>
    <w:rsid w:val="002B53D3"/>
    <w:rsid w:val="002B55F1"/>
    <w:rsid w:val="002B632E"/>
    <w:rsid w:val="002B6630"/>
    <w:rsid w:val="002B68A5"/>
    <w:rsid w:val="002B711F"/>
    <w:rsid w:val="002B76E3"/>
    <w:rsid w:val="002B7EE5"/>
    <w:rsid w:val="002C0A00"/>
    <w:rsid w:val="002C0C93"/>
    <w:rsid w:val="002C1417"/>
    <w:rsid w:val="002C218C"/>
    <w:rsid w:val="002C29C5"/>
    <w:rsid w:val="002C310E"/>
    <w:rsid w:val="002C373F"/>
    <w:rsid w:val="002C4546"/>
    <w:rsid w:val="002C482A"/>
    <w:rsid w:val="002C494D"/>
    <w:rsid w:val="002C6268"/>
    <w:rsid w:val="002C63C8"/>
    <w:rsid w:val="002C6A34"/>
    <w:rsid w:val="002C6D1A"/>
    <w:rsid w:val="002C73B7"/>
    <w:rsid w:val="002D0E88"/>
    <w:rsid w:val="002D12D4"/>
    <w:rsid w:val="002D1551"/>
    <w:rsid w:val="002D1B47"/>
    <w:rsid w:val="002D1D0A"/>
    <w:rsid w:val="002D2231"/>
    <w:rsid w:val="002D2D02"/>
    <w:rsid w:val="002D2D20"/>
    <w:rsid w:val="002D5DAB"/>
    <w:rsid w:val="002D7AD3"/>
    <w:rsid w:val="002D7AF2"/>
    <w:rsid w:val="002D7E83"/>
    <w:rsid w:val="002E09C2"/>
    <w:rsid w:val="002E16C4"/>
    <w:rsid w:val="002E1BE2"/>
    <w:rsid w:val="002E2BC8"/>
    <w:rsid w:val="002E3026"/>
    <w:rsid w:val="002E3F8B"/>
    <w:rsid w:val="002E4821"/>
    <w:rsid w:val="002E49F9"/>
    <w:rsid w:val="002E4F18"/>
    <w:rsid w:val="002E53CE"/>
    <w:rsid w:val="002E5674"/>
    <w:rsid w:val="002E63A6"/>
    <w:rsid w:val="002E653D"/>
    <w:rsid w:val="002E7D3B"/>
    <w:rsid w:val="002E7EEE"/>
    <w:rsid w:val="002F02BD"/>
    <w:rsid w:val="002F07F7"/>
    <w:rsid w:val="002F1C36"/>
    <w:rsid w:val="002F21F5"/>
    <w:rsid w:val="002F330D"/>
    <w:rsid w:val="002F394B"/>
    <w:rsid w:val="002F43C0"/>
    <w:rsid w:val="002F4B60"/>
    <w:rsid w:val="002F7089"/>
    <w:rsid w:val="002F75B3"/>
    <w:rsid w:val="00300409"/>
    <w:rsid w:val="0030254D"/>
    <w:rsid w:val="00303A0F"/>
    <w:rsid w:val="00303A3B"/>
    <w:rsid w:val="00303C1F"/>
    <w:rsid w:val="003055AE"/>
    <w:rsid w:val="0030562B"/>
    <w:rsid w:val="00305A2C"/>
    <w:rsid w:val="00306116"/>
    <w:rsid w:val="003062EA"/>
    <w:rsid w:val="0030697A"/>
    <w:rsid w:val="00307008"/>
    <w:rsid w:val="0030777B"/>
    <w:rsid w:val="00310135"/>
    <w:rsid w:val="00310A46"/>
    <w:rsid w:val="00311425"/>
    <w:rsid w:val="003115FA"/>
    <w:rsid w:val="003120CC"/>
    <w:rsid w:val="00313C5A"/>
    <w:rsid w:val="00313D57"/>
    <w:rsid w:val="00314F97"/>
    <w:rsid w:val="0031566F"/>
    <w:rsid w:val="00316213"/>
    <w:rsid w:val="0031638D"/>
    <w:rsid w:val="00316B09"/>
    <w:rsid w:val="00316BA0"/>
    <w:rsid w:val="00316D4D"/>
    <w:rsid w:val="00316EBD"/>
    <w:rsid w:val="003173F3"/>
    <w:rsid w:val="00320247"/>
    <w:rsid w:val="0032047A"/>
    <w:rsid w:val="003204B2"/>
    <w:rsid w:val="003205B5"/>
    <w:rsid w:val="00320FEE"/>
    <w:rsid w:val="0032144D"/>
    <w:rsid w:val="00322121"/>
    <w:rsid w:val="00322478"/>
    <w:rsid w:val="00322F91"/>
    <w:rsid w:val="00323475"/>
    <w:rsid w:val="003234B8"/>
    <w:rsid w:val="00323A3D"/>
    <w:rsid w:val="00323DD9"/>
    <w:rsid w:val="0032438E"/>
    <w:rsid w:val="00325C13"/>
    <w:rsid w:val="00326177"/>
    <w:rsid w:val="00326B39"/>
    <w:rsid w:val="00327063"/>
    <w:rsid w:val="00327F19"/>
    <w:rsid w:val="00330783"/>
    <w:rsid w:val="00330B74"/>
    <w:rsid w:val="00330E07"/>
    <w:rsid w:val="00331169"/>
    <w:rsid w:val="00331452"/>
    <w:rsid w:val="00331515"/>
    <w:rsid w:val="003320B4"/>
    <w:rsid w:val="00332D78"/>
    <w:rsid w:val="003335B8"/>
    <w:rsid w:val="003338B5"/>
    <w:rsid w:val="00333BA4"/>
    <w:rsid w:val="0033451D"/>
    <w:rsid w:val="00334C6A"/>
    <w:rsid w:val="00335403"/>
    <w:rsid w:val="0033546D"/>
    <w:rsid w:val="00336CDD"/>
    <w:rsid w:val="00337069"/>
    <w:rsid w:val="00337D8E"/>
    <w:rsid w:val="0034038A"/>
    <w:rsid w:val="003423DF"/>
    <w:rsid w:val="00342FA2"/>
    <w:rsid w:val="00343C50"/>
    <w:rsid w:val="00344458"/>
    <w:rsid w:val="00344D6A"/>
    <w:rsid w:val="00344E5E"/>
    <w:rsid w:val="00344FD4"/>
    <w:rsid w:val="003456E1"/>
    <w:rsid w:val="00347112"/>
    <w:rsid w:val="00347756"/>
    <w:rsid w:val="003514E1"/>
    <w:rsid w:val="00352134"/>
    <w:rsid w:val="003535E6"/>
    <w:rsid w:val="003565F1"/>
    <w:rsid w:val="00356947"/>
    <w:rsid w:val="00362F3C"/>
    <w:rsid w:val="003635CB"/>
    <w:rsid w:val="0036369F"/>
    <w:rsid w:val="003664F2"/>
    <w:rsid w:val="00367721"/>
    <w:rsid w:val="0036788C"/>
    <w:rsid w:val="00370920"/>
    <w:rsid w:val="003725A8"/>
    <w:rsid w:val="00372952"/>
    <w:rsid w:val="00373731"/>
    <w:rsid w:val="00373870"/>
    <w:rsid w:val="00374BB2"/>
    <w:rsid w:val="00375786"/>
    <w:rsid w:val="00375C34"/>
    <w:rsid w:val="00377A1C"/>
    <w:rsid w:val="00380070"/>
    <w:rsid w:val="003806AB"/>
    <w:rsid w:val="00380E61"/>
    <w:rsid w:val="00381C48"/>
    <w:rsid w:val="003820A4"/>
    <w:rsid w:val="0038284B"/>
    <w:rsid w:val="00384683"/>
    <w:rsid w:val="003862E9"/>
    <w:rsid w:val="00387EA0"/>
    <w:rsid w:val="00390286"/>
    <w:rsid w:val="00390F9B"/>
    <w:rsid w:val="00391378"/>
    <w:rsid w:val="00391C55"/>
    <w:rsid w:val="00391D7F"/>
    <w:rsid w:val="00391E5E"/>
    <w:rsid w:val="0039391E"/>
    <w:rsid w:val="003977B8"/>
    <w:rsid w:val="003A0B14"/>
    <w:rsid w:val="003A116A"/>
    <w:rsid w:val="003A16FE"/>
    <w:rsid w:val="003A1C3F"/>
    <w:rsid w:val="003A226B"/>
    <w:rsid w:val="003A262A"/>
    <w:rsid w:val="003A2C44"/>
    <w:rsid w:val="003A3A93"/>
    <w:rsid w:val="003A411C"/>
    <w:rsid w:val="003A42FD"/>
    <w:rsid w:val="003A6058"/>
    <w:rsid w:val="003B03F2"/>
    <w:rsid w:val="003B179D"/>
    <w:rsid w:val="003B1CBA"/>
    <w:rsid w:val="003B203E"/>
    <w:rsid w:val="003B2757"/>
    <w:rsid w:val="003B3A87"/>
    <w:rsid w:val="003B3D3F"/>
    <w:rsid w:val="003B4991"/>
    <w:rsid w:val="003B4A58"/>
    <w:rsid w:val="003B4B55"/>
    <w:rsid w:val="003B7D4C"/>
    <w:rsid w:val="003C1116"/>
    <w:rsid w:val="003C2668"/>
    <w:rsid w:val="003C282D"/>
    <w:rsid w:val="003C2EA6"/>
    <w:rsid w:val="003C32C4"/>
    <w:rsid w:val="003C3946"/>
    <w:rsid w:val="003C398F"/>
    <w:rsid w:val="003C42B0"/>
    <w:rsid w:val="003C443F"/>
    <w:rsid w:val="003C484E"/>
    <w:rsid w:val="003C4CF0"/>
    <w:rsid w:val="003C4D06"/>
    <w:rsid w:val="003C537A"/>
    <w:rsid w:val="003C5A79"/>
    <w:rsid w:val="003C71E6"/>
    <w:rsid w:val="003D1DF4"/>
    <w:rsid w:val="003D1EC8"/>
    <w:rsid w:val="003D1EF9"/>
    <w:rsid w:val="003D22D6"/>
    <w:rsid w:val="003D40E5"/>
    <w:rsid w:val="003D484E"/>
    <w:rsid w:val="003D6A9F"/>
    <w:rsid w:val="003D7B1F"/>
    <w:rsid w:val="003E1123"/>
    <w:rsid w:val="003E1632"/>
    <w:rsid w:val="003E1EB5"/>
    <w:rsid w:val="003E2458"/>
    <w:rsid w:val="003E32CA"/>
    <w:rsid w:val="003E32E7"/>
    <w:rsid w:val="003E3AFC"/>
    <w:rsid w:val="003E3F5C"/>
    <w:rsid w:val="003E469D"/>
    <w:rsid w:val="003E5086"/>
    <w:rsid w:val="003E577A"/>
    <w:rsid w:val="003E5A10"/>
    <w:rsid w:val="003E5B6E"/>
    <w:rsid w:val="003E654A"/>
    <w:rsid w:val="003E6589"/>
    <w:rsid w:val="003E7042"/>
    <w:rsid w:val="003E7FAF"/>
    <w:rsid w:val="003F02B3"/>
    <w:rsid w:val="003F0D2A"/>
    <w:rsid w:val="003F0E96"/>
    <w:rsid w:val="003F15E4"/>
    <w:rsid w:val="003F1F62"/>
    <w:rsid w:val="003F3278"/>
    <w:rsid w:val="003F4F46"/>
    <w:rsid w:val="003F5040"/>
    <w:rsid w:val="003F5408"/>
    <w:rsid w:val="003F667E"/>
    <w:rsid w:val="003F7913"/>
    <w:rsid w:val="003F7C58"/>
    <w:rsid w:val="00400A39"/>
    <w:rsid w:val="0040109C"/>
    <w:rsid w:val="00401340"/>
    <w:rsid w:val="00401464"/>
    <w:rsid w:val="00401928"/>
    <w:rsid w:val="00401C09"/>
    <w:rsid w:val="00401FFB"/>
    <w:rsid w:val="00402763"/>
    <w:rsid w:val="00402A24"/>
    <w:rsid w:val="00402A3B"/>
    <w:rsid w:val="00402C32"/>
    <w:rsid w:val="004047E8"/>
    <w:rsid w:val="00405CF1"/>
    <w:rsid w:val="00405EBE"/>
    <w:rsid w:val="0040614D"/>
    <w:rsid w:val="0040639D"/>
    <w:rsid w:val="00406685"/>
    <w:rsid w:val="00407E20"/>
    <w:rsid w:val="00410179"/>
    <w:rsid w:val="004112AC"/>
    <w:rsid w:val="00411986"/>
    <w:rsid w:val="00411A4A"/>
    <w:rsid w:val="00411F2D"/>
    <w:rsid w:val="00412C9A"/>
    <w:rsid w:val="00412FC5"/>
    <w:rsid w:val="00412FF1"/>
    <w:rsid w:val="00413D36"/>
    <w:rsid w:val="00413E35"/>
    <w:rsid w:val="00413FD9"/>
    <w:rsid w:val="00414C78"/>
    <w:rsid w:val="00414DE9"/>
    <w:rsid w:val="0041540F"/>
    <w:rsid w:val="00415536"/>
    <w:rsid w:val="004166A1"/>
    <w:rsid w:val="004177B1"/>
    <w:rsid w:val="0041799C"/>
    <w:rsid w:val="00417C7E"/>
    <w:rsid w:val="00420E0A"/>
    <w:rsid w:val="00421076"/>
    <w:rsid w:val="004216BA"/>
    <w:rsid w:val="004221D0"/>
    <w:rsid w:val="004222C1"/>
    <w:rsid w:val="004234DF"/>
    <w:rsid w:val="00423C19"/>
    <w:rsid w:val="0042598B"/>
    <w:rsid w:val="00425B17"/>
    <w:rsid w:val="00426ED5"/>
    <w:rsid w:val="004276DA"/>
    <w:rsid w:val="00427717"/>
    <w:rsid w:val="004277E1"/>
    <w:rsid w:val="00430D3E"/>
    <w:rsid w:val="00430EF1"/>
    <w:rsid w:val="00431429"/>
    <w:rsid w:val="004320DD"/>
    <w:rsid w:val="004323B6"/>
    <w:rsid w:val="0043275A"/>
    <w:rsid w:val="0043294D"/>
    <w:rsid w:val="00433236"/>
    <w:rsid w:val="004332B2"/>
    <w:rsid w:val="004335B7"/>
    <w:rsid w:val="0043393C"/>
    <w:rsid w:val="00433D17"/>
    <w:rsid w:val="00433DB6"/>
    <w:rsid w:val="0043445E"/>
    <w:rsid w:val="004351F9"/>
    <w:rsid w:val="004366B7"/>
    <w:rsid w:val="00437DE0"/>
    <w:rsid w:val="00437E07"/>
    <w:rsid w:val="00440910"/>
    <w:rsid w:val="004416AF"/>
    <w:rsid w:val="00441922"/>
    <w:rsid w:val="00442094"/>
    <w:rsid w:val="0044235F"/>
    <w:rsid w:val="00442627"/>
    <w:rsid w:val="0044272B"/>
    <w:rsid w:val="00443047"/>
    <w:rsid w:val="0044352A"/>
    <w:rsid w:val="00443A7A"/>
    <w:rsid w:val="00443CEC"/>
    <w:rsid w:val="004448F8"/>
    <w:rsid w:val="0044570C"/>
    <w:rsid w:val="00446469"/>
    <w:rsid w:val="00447389"/>
    <w:rsid w:val="004509E3"/>
    <w:rsid w:val="00450A3F"/>
    <w:rsid w:val="004511D2"/>
    <w:rsid w:val="004529BA"/>
    <w:rsid w:val="00452DEF"/>
    <w:rsid w:val="004544D1"/>
    <w:rsid w:val="00455565"/>
    <w:rsid w:val="00455DFF"/>
    <w:rsid w:val="00456982"/>
    <w:rsid w:val="00457C32"/>
    <w:rsid w:val="00460944"/>
    <w:rsid w:val="00461F03"/>
    <w:rsid w:val="00462299"/>
    <w:rsid w:val="004625C3"/>
    <w:rsid w:val="004627AA"/>
    <w:rsid w:val="00462B3B"/>
    <w:rsid w:val="00462C7B"/>
    <w:rsid w:val="0046423C"/>
    <w:rsid w:val="00464C76"/>
    <w:rsid w:val="0046538C"/>
    <w:rsid w:val="00465CB9"/>
    <w:rsid w:val="00466A1E"/>
    <w:rsid w:val="00467ED4"/>
    <w:rsid w:val="00470759"/>
    <w:rsid w:val="00470C6F"/>
    <w:rsid w:val="004712BA"/>
    <w:rsid w:val="004725CB"/>
    <w:rsid w:val="00472C79"/>
    <w:rsid w:val="00472D94"/>
    <w:rsid w:val="00472E1B"/>
    <w:rsid w:val="004730D4"/>
    <w:rsid w:val="0047358B"/>
    <w:rsid w:val="00474125"/>
    <w:rsid w:val="004741A2"/>
    <w:rsid w:val="004748A7"/>
    <w:rsid w:val="00475019"/>
    <w:rsid w:val="0048020C"/>
    <w:rsid w:val="004808CB"/>
    <w:rsid w:val="00480E22"/>
    <w:rsid w:val="00481348"/>
    <w:rsid w:val="00481D88"/>
    <w:rsid w:val="00481FEA"/>
    <w:rsid w:val="004822F8"/>
    <w:rsid w:val="00482DB4"/>
    <w:rsid w:val="00483D09"/>
    <w:rsid w:val="00483D29"/>
    <w:rsid w:val="00483DD1"/>
    <w:rsid w:val="00483E55"/>
    <w:rsid w:val="0048448B"/>
    <w:rsid w:val="00485143"/>
    <w:rsid w:val="00485156"/>
    <w:rsid w:val="0048634B"/>
    <w:rsid w:val="00486AC2"/>
    <w:rsid w:val="00486F35"/>
    <w:rsid w:val="00490C99"/>
    <w:rsid w:val="00490E13"/>
    <w:rsid w:val="00490F96"/>
    <w:rsid w:val="00491F62"/>
    <w:rsid w:val="00492D5A"/>
    <w:rsid w:val="00493150"/>
    <w:rsid w:val="004931FC"/>
    <w:rsid w:val="00493D41"/>
    <w:rsid w:val="0049411E"/>
    <w:rsid w:val="00494CE8"/>
    <w:rsid w:val="00494EEB"/>
    <w:rsid w:val="00494FFE"/>
    <w:rsid w:val="00495287"/>
    <w:rsid w:val="00495E99"/>
    <w:rsid w:val="0049616F"/>
    <w:rsid w:val="004970DE"/>
    <w:rsid w:val="004974F6"/>
    <w:rsid w:val="004A14B2"/>
    <w:rsid w:val="004A1797"/>
    <w:rsid w:val="004A1921"/>
    <w:rsid w:val="004A1C7A"/>
    <w:rsid w:val="004A1E8E"/>
    <w:rsid w:val="004A20C8"/>
    <w:rsid w:val="004A285A"/>
    <w:rsid w:val="004A303D"/>
    <w:rsid w:val="004A356D"/>
    <w:rsid w:val="004A4152"/>
    <w:rsid w:val="004A4952"/>
    <w:rsid w:val="004A6E15"/>
    <w:rsid w:val="004A7B1B"/>
    <w:rsid w:val="004B148B"/>
    <w:rsid w:val="004B1510"/>
    <w:rsid w:val="004B1852"/>
    <w:rsid w:val="004B1BAB"/>
    <w:rsid w:val="004B21D3"/>
    <w:rsid w:val="004B2D85"/>
    <w:rsid w:val="004B3323"/>
    <w:rsid w:val="004B3A3A"/>
    <w:rsid w:val="004B50AB"/>
    <w:rsid w:val="004B758D"/>
    <w:rsid w:val="004B766D"/>
    <w:rsid w:val="004B7DDD"/>
    <w:rsid w:val="004C0644"/>
    <w:rsid w:val="004C070F"/>
    <w:rsid w:val="004C0909"/>
    <w:rsid w:val="004C25BF"/>
    <w:rsid w:val="004C2F16"/>
    <w:rsid w:val="004C33C9"/>
    <w:rsid w:val="004C4405"/>
    <w:rsid w:val="004C441B"/>
    <w:rsid w:val="004C726C"/>
    <w:rsid w:val="004C7AE6"/>
    <w:rsid w:val="004D085F"/>
    <w:rsid w:val="004D14BC"/>
    <w:rsid w:val="004D173A"/>
    <w:rsid w:val="004D1F64"/>
    <w:rsid w:val="004D257C"/>
    <w:rsid w:val="004D2A7C"/>
    <w:rsid w:val="004D3771"/>
    <w:rsid w:val="004D3C95"/>
    <w:rsid w:val="004D46D0"/>
    <w:rsid w:val="004D5451"/>
    <w:rsid w:val="004D551D"/>
    <w:rsid w:val="004D6399"/>
    <w:rsid w:val="004D6EF6"/>
    <w:rsid w:val="004D79DB"/>
    <w:rsid w:val="004D7C6A"/>
    <w:rsid w:val="004D7CB6"/>
    <w:rsid w:val="004E109E"/>
    <w:rsid w:val="004E1C73"/>
    <w:rsid w:val="004E2480"/>
    <w:rsid w:val="004E34B7"/>
    <w:rsid w:val="004E35B6"/>
    <w:rsid w:val="004E40FF"/>
    <w:rsid w:val="004E535D"/>
    <w:rsid w:val="004E5389"/>
    <w:rsid w:val="004E5F63"/>
    <w:rsid w:val="004E658D"/>
    <w:rsid w:val="004E7957"/>
    <w:rsid w:val="004E7CCD"/>
    <w:rsid w:val="004F098B"/>
    <w:rsid w:val="004F0B3D"/>
    <w:rsid w:val="004F0CDA"/>
    <w:rsid w:val="004F169F"/>
    <w:rsid w:val="004F2458"/>
    <w:rsid w:val="004F2EBB"/>
    <w:rsid w:val="004F3933"/>
    <w:rsid w:val="004F3F4E"/>
    <w:rsid w:val="004F40B9"/>
    <w:rsid w:val="004F4B7A"/>
    <w:rsid w:val="004F4BC9"/>
    <w:rsid w:val="004F5737"/>
    <w:rsid w:val="004F6AD5"/>
    <w:rsid w:val="004F7CD1"/>
    <w:rsid w:val="004F7E32"/>
    <w:rsid w:val="00500261"/>
    <w:rsid w:val="0050077A"/>
    <w:rsid w:val="00500793"/>
    <w:rsid w:val="00500F38"/>
    <w:rsid w:val="00502799"/>
    <w:rsid w:val="00504C4D"/>
    <w:rsid w:val="0050637C"/>
    <w:rsid w:val="00506406"/>
    <w:rsid w:val="005072BD"/>
    <w:rsid w:val="00511494"/>
    <w:rsid w:val="00512599"/>
    <w:rsid w:val="00512CF2"/>
    <w:rsid w:val="005143AE"/>
    <w:rsid w:val="00514D5E"/>
    <w:rsid w:val="00515661"/>
    <w:rsid w:val="00515B02"/>
    <w:rsid w:val="00516951"/>
    <w:rsid w:val="00517683"/>
    <w:rsid w:val="0051782B"/>
    <w:rsid w:val="00517E5A"/>
    <w:rsid w:val="00520040"/>
    <w:rsid w:val="00520FD3"/>
    <w:rsid w:val="00521BCD"/>
    <w:rsid w:val="005225C5"/>
    <w:rsid w:val="00522C09"/>
    <w:rsid w:val="00523400"/>
    <w:rsid w:val="00523D42"/>
    <w:rsid w:val="00523E3F"/>
    <w:rsid w:val="005253C8"/>
    <w:rsid w:val="00525906"/>
    <w:rsid w:val="00526302"/>
    <w:rsid w:val="00526634"/>
    <w:rsid w:val="00526FC8"/>
    <w:rsid w:val="005275DA"/>
    <w:rsid w:val="00527755"/>
    <w:rsid w:val="00527782"/>
    <w:rsid w:val="0052795F"/>
    <w:rsid w:val="00527E69"/>
    <w:rsid w:val="005301FA"/>
    <w:rsid w:val="00530D0D"/>
    <w:rsid w:val="00530D6F"/>
    <w:rsid w:val="00530E97"/>
    <w:rsid w:val="00531393"/>
    <w:rsid w:val="0053155A"/>
    <w:rsid w:val="005318BA"/>
    <w:rsid w:val="005318E5"/>
    <w:rsid w:val="005318F0"/>
    <w:rsid w:val="0053228E"/>
    <w:rsid w:val="005328DF"/>
    <w:rsid w:val="0053299A"/>
    <w:rsid w:val="00534710"/>
    <w:rsid w:val="00534BA2"/>
    <w:rsid w:val="00534C17"/>
    <w:rsid w:val="0053574F"/>
    <w:rsid w:val="00535EE6"/>
    <w:rsid w:val="00540C89"/>
    <w:rsid w:val="00541283"/>
    <w:rsid w:val="0054155F"/>
    <w:rsid w:val="0054187C"/>
    <w:rsid w:val="0054295D"/>
    <w:rsid w:val="00542A4A"/>
    <w:rsid w:val="00542E9F"/>
    <w:rsid w:val="005436AE"/>
    <w:rsid w:val="005437FA"/>
    <w:rsid w:val="00544622"/>
    <w:rsid w:val="005452FD"/>
    <w:rsid w:val="0054547D"/>
    <w:rsid w:val="00546B0F"/>
    <w:rsid w:val="00546B4D"/>
    <w:rsid w:val="00546B4F"/>
    <w:rsid w:val="00547B4D"/>
    <w:rsid w:val="00550341"/>
    <w:rsid w:val="0055127A"/>
    <w:rsid w:val="00551ECC"/>
    <w:rsid w:val="005522A1"/>
    <w:rsid w:val="005530AD"/>
    <w:rsid w:val="005531AA"/>
    <w:rsid w:val="0055534B"/>
    <w:rsid w:val="00556DFC"/>
    <w:rsid w:val="00557C2E"/>
    <w:rsid w:val="00557DF9"/>
    <w:rsid w:val="00557FDC"/>
    <w:rsid w:val="00560A84"/>
    <w:rsid w:val="00560ACC"/>
    <w:rsid w:val="00560E89"/>
    <w:rsid w:val="00561327"/>
    <w:rsid w:val="0056242E"/>
    <w:rsid w:val="005638CD"/>
    <w:rsid w:val="005638FD"/>
    <w:rsid w:val="0056478E"/>
    <w:rsid w:val="005647B1"/>
    <w:rsid w:val="00564E47"/>
    <w:rsid w:val="005650FB"/>
    <w:rsid w:val="00566BC4"/>
    <w:rsid w:val="00567977"/>
    <w:rsid w:val="00567B0B"/>
    <w:rsid w:val="00570027"/>
    <w:rsid w:val="00570349"/>
    <w:rsid w:val="005708DA"/>
    <w:rsid w:val="00570F36"/>
    <w:rsid w:val="005724E3"/>
    <w:rsid w:val="00572815"/>
    <w:rsid w:val="005729F7"/>
    <w:rsid w:val="00572EA1"/>
    <w:rsid w:val="00573069"/>
    <w:rsid w:val="00573413"/>
    <w:rsid w:val="00573527"/>
    <w:rsid w:val="0057355B"/>
    <w:rsid w:val="005736D6"/>
    <w:rsid w:val="00573E5D"/>
    <w:rsid w:val="005745DE"/>
    <w:rsid w:val="00575CF0"/>
    <w:rsid w:val="0057604F"/>
    <w:rsid w:val="00576632"/>
    <w:rsid w:val="00576CDF"/>
    <w:rsid w:val="00576DA1"/>
    <w:rsid w:val="005777A4"/>
    <w:rsid w:val="00577E5C"/>
    <w:rsid w:val="005825F1"/>
    <w:rsid w:val="0058349C"/>
    <w:rsid w:val="00585A0C"/>
    <w:rsid w:val="00586BDE"/>
    <w:rsid w:val="00590322"/>
    <w:rsid w:val="005909D0"/>
    <w:rsid w:val="005912F4"/>
    <w:rsid w:val="00591311"/>
    <w:rsid w:val="005918EC"/>
    <w:rsid w:val="00591D62"/>
    <w:rsid w:val="00592348"/>
    <w:rsid w:val="0059251A"/>
    <w:rsid w:val="00592792"/>
    <w:rsid w:val="005927B5"/>
    <w:rsid w:val="00592EB0"/>
    <w:rsid w:val="00593B0E"/>
    <w:rsid w:val="00593BDB"/>
    <w:rsid w:val="00593F74"/>
    <w:rsid w:val="005941BD"/>
    <w:rsid w:val="0059435F"/>
    <w:rsid w:val="00594792"/>
    <w:rsid w:val="00594F90"/>
    <w:rsid w:val="005950F0"/>
    <w:rsid w:val="00595542"/>
    <w:rsid w:val="00595E63"/>
    <w:rsid w:val="005961CC"/>
    <w:rsid w:val="00596E69"/>
    <w:rsid w:val="005A0A1A"/>
    <w:rsid w:val="005A25AE"/>
    <w:rsid w:val="005A36F2"/>
    <w:rsid w:val="005A3B55"/>
    <w:rsid w:val="005A3C85"/>
    <w:rsid w:val="005A4462"/>
    <w:rsid w:val="005A4520"/>
    <w:rsid w:val="005A4C31"/>
    <w:rsid w:val="005A4CE1"/>
    <w:rsid w:val="005A597F"/>
    <w:rsid w:val="005A5DB0"/>
    <w:rsid w:val="005A5FD1"/>
    <w:rsid w:val="005A6104"/>
    <w:rsid w:val="005A6A65"/>
    <w:rsid w:val="005A6C61"/>
    <w:rsid w:val="005A6F05"/>
    <w:rsid w:val="005A7ECA"/>
    <w:rsid w:val="005B06CF"/>
    <w:rsid w:val="005B0923"/>
    <w:rsid w:val="005B0A6D"/>
    <w:rsid w:val="005B14DF"/>
    <w:rsid w:val="005B24A3"/>
    <w:rsid w:val="005B5014"/>
    <w:rsid w:val="005B580C"/>
    <w:rsid w:val="005B6508"/>
    <w:rsid w:val="005B7FBD"/>
    <w:rsid w:val="005C07CE"/>
    <w:rsid w:val="005C0FA0"/>
    <w:rsid w:val="005C12D2"/>
    <w:rsid w:val="005C2981"/>
    <w:rsid w:val="005C36AF"/>
    <w:rsid w:val="005C51B7"/>
    <w:rsid w:val="005C5EB0"/>
    <w:rsid w:val="005C6F65"/>
    <w:rsid w:val="005C7A9F"/>
    <w:rsid w:val="005D12FD"/>
    <w:rsid w:val="005D1991"/>
    <w:rsid w:val="005D22B9"/>
    <w:rsid w:val="005D2CAE"/>
    <w:rsid w:val="005D3CAC"/>
    <w:rsid w:val="005D4448"/>
    <w:rsid w:val="005D52E4"/>
    <w:rsid w:val="005D6D07"/>
    <w:rsid w:val="005D7936"/>
    <w:rsid w:val="005E036D"/>
    <w:rsid w:val="005E0DA6"/>
    <w:rsid w:val="005E1A60"/>
    <w:rsid w:val="005E1B0B"/>
    <w:rsid w:val="005E22D6"/>
    <w:rsid w:val="005E4427"/>
    <w:rsid w:val="005E48AD"/>
    <w:rsid w:val="005E52CF"/>
    <w:rsid w:val="005E631D"/>
    <w:rsid w:val="005E68CA"/>
    <w:rsid w:val="005E6C4D"/>
    <w:rsid w:val="005E6D3D"/>
    <w:rsid w:val="005E6D98"/>
    <w:rsid w:val="005E7037"/>
    <w:rsid w:val="005E77E5"/>
    <w:rsid w:val="005F0BB2"/>
    <w:rsid w:val="005F180D"/>
    <w:rsid w:val="005F373B"/>
    <w:rsid w:val="005F39A1"/>
    <w:rsid w:val="005F49DB"/>
    <w:rsid w:val="005F5177"/>
    <w:rsid w:val="005F6024"/>
    <w:rsid w:val="005F60CF"/>
    <w:rsid w:val="005F6904"/>
    <w:rsid w:val="005F76CF"/>
    <w:rsid w:val="005F7A33"/>
    <w:rsid w:val="005F7A7C"/>
    <w:rsid w:val="005F7E30"/>
    <w:rsid w:val="00600AB2"/>
    <w:rsid w:val="00600F89"/>
    <w:rsid w:val="00601289"/>
    <w:rsid w:val="00601685"/>
    <w:rsid w:val="0060188D"/>
    <w:rsid w:val="00601DF0"/>
    <w:rsid w:val="0060203A"/>
    <w:rsid w:val="006023D6"/>
    <w:rsid w:val="006035FE"/>
    <w:rsid w:val="00603B74"/>
    <w:rsid w:val="0060409D"/>
    <w:rsid w:val="00604294"/>
    <w:rsid w:val="00606DC1"/>
    <w:rsid w:val="00610536"/>
    <w:rsid w:val="006105DC"/>
    <w:rsid w:val="00611DE0"/>
    <w:rsid w:val="00611EF2"/>
    <w:rsid w:val="00612579"/>
    <w:rsid w:val="0061261E"/>
    <w:rsid w:val="00612BFE"/>
    <w:rsid w:val="006130DF"/>
    <w:rsid w:val="006130FE"/>
    <w:rsid w:val="006136C8"/>
    <w:rsid w:val="006138AF"/>
    <w:rsid w:val="00614425"/>
    <w:rsid w:val="006153A2"/>
    <w:rsid w:val="00615B59"/>
    <w:rsid w:val="00615D72"/>
    <w:rsid w:val="0061649C"/>
    <w:rsid w:val="00620741"/>
    <w:rsid w:val="00620DEB"/>
    <w:rsid w:val="00621C45"/>
    <w:rsid w:val="00621D9F"/>
    <w:rsid w:val="00622BCC"/>
    <w:rsid w:val="00623119"/>
    <w:rsid w:val="006232C9"/>
    <w:rsid w:val="00625CEE"/>
    <w:rsid w:val="0062642E"/>
    <w:rsid w:val="00627BE0"/>
    <w:rsid w:val="00627CE6"/>
    <w:rsid w:val="00627E23"/>
    <w:rsid w:val="00627FFA"/>
    <w:rsid w:val="00630B51"/>
    <w:rsid w:val="00631950"/>
    <w:rsid w:val="00631F8D"/>
    <w:rsid w:val="00633113"/>
    <w:rsid w:val="006332EE"/>
    <w:rsid w:val="006367D0"/>
    <w:rsid w:val="006378FE"/>
    <w:rsid w:val="00640673"/>
    <w:rsid w:val="0064088C"/>
    <w:rsid w:val="006419D5"/>
    <w:rsid w:val="0064262B"/>
    <w:rsid w:val="00643492"/>
    <w:rsid w:val="00644287"/>
    <w:rsid w:val="00644FFE"/>
    <w:rsid w:val="00645CC9"/>
    <w:rsid w:val="006462A7"/>
    <w:rsid w:val="00646F12"/>
    <w:rsid w:val="0064795E"/>
    <w:rsid w:val="00647B1B"/>
    <w:rsid w:val="00650803"/>
    <w:rsid w:val="006513C6"/>
    <w:rsid w:val="00652478"/>
    <w:rsid w:val="0065262C"/>
    <w:rsid w:val="006535D1"/>
    <w:rsid w:val="00654020"/>
    <w:rsid w:val="00654A6F"/>
    <w:rsid w:val="00654E62"/>
    <w:rsid w:val="00655C2F"/>
    <w:rsid w:val="00656CE5"/>
    <w:rsid w:val="00656D32"/>
    <w:rsid w:val="0065730A"/>
    <w:rsid w:val="0066057F"/>
    <w:rsid w:val="00660EA3"/>
    <w:rsid w:val="006612FB"/>
    <w:rsid w:val="00661BCE"/>
    <w:rsid w:val="00661D2E"/>
    <w:rsid w:val="0066205F"/>
    <w:rsid w:val="006621F1"/>
    <w:rsid w:val="00663B8D"/>
    <w:rsid w:val="00664ABD"/>
    <w:rsid w:val="00665A90"/>
    <w:rsid w:val="0066694F"/>
    <w:rsid w:val="00666A2E"/>
    <w:rsid w:val="0066755B"/>
    <w:rsid w:val="006675EA"/>
    <w:rsid w:val="00667F22"/>
    <w:rsid w:val="00670A0A"/>
    <w:rsid w:val="00670A7E"/>
    <w:rsid w:val="00670AC4"/>
    <w:rsid w:val="0067167C"/>
    <w:rsid w:val="0067193B"/>
    <w:rsid w:val="00671F7C"/>
    <w:rsid w:val="0067243C"/>
    <w:rsid w:val="00674237"/>
    <w:rsid w:val="00674E03"/>
    <w:rsid w:val="006753FE"/>
    <w:rsid w:val="00675468"/>
    <w:rsid w:val="0067568E"/>
    <w:rsid w:val="006770DF"/>
    <w:rsid w:val="006802AD"/>
    <w:rsid w:val="006804DF"/>
    <w:rsid w:val="00680731"/>
    <w:rsid w:val="00681826"/>
    <w:rsid w:val="0068222C"/>
    <w:rsid w:val="00682445"/>
    <w:rsid w:val="00682CC0"/>
    <w:rsid w:val="00683EBB"/>
    <w:rsid w:val="00683FC9"/>
    <w:rsid w:val="00685771"/>
    <w:rsid w:val="00685AC8"/>
    <w:rsid w:val="0068667B"/>
    <w:rsid w:val="00690CD9"/>
    <w:rsid w:val="00691927"/>
    <w:rsid w:val="00691C28"/>
    <w:rsid w:val="00691CD4"/>
    <w:rsid w:val="00692C0C"/>
    <w:rsid w:val="0069309B"/>
    <w:rsid w:val="006932AE"/>
    <w:rsid w:val="006933C7"/>
    <w:rsid w:val="0069394C"/>
    <w:rsid w:val="00694204"/>
    <w:rsid w:val="006944A1"/>
    <w:rsid w:val="0069462D"/>
    <w:rsid w:val="00694A29"/>
    <w:rsid w:val="00694EE0"/>
    <w:rsid w:val="00695449"/>
    <w:rsid w:val="00695E9E"/>
    <w:rsid w:val="0069696A"/>
    <w:rsid w:val="00696A47"/>
    <w:rsid w:val="00696DD9"/>
    <w:rsid w:val="006971C9"/>
    <w:rsid w:val="00697E23"/>
    <w:rsid w:val="006A0077"/>
    <w:rsid w:val="006A0712"/>
    <w:rsid w:val="006A09B7"/>
    <w:rsid w:val="006A0C7C"/>
    <w:rsid w:val="006A1938"/>
    <w:rsid w:val="006A2EF4"/>
    <w:rsid w:val="006A4274"/>
    <w:rsid w:val="006A4CD5"/>
    <w:rsid w:val="006A4E90"/>
    <w:rsid w:val="006A5410"/>
    <w:rsid w:val="006A5DA3"/>
    <w:rsid w:val="006A73BA"/>
    <w:rsid w:val="006A79C8"/>
    <w:rsid w:val="006B06BE"/>
    <w:rsid w:val="006B1070"/>
    <w:rsid w:val="006B1284"/>
    <w:rsid w:val="006B1C4B"/>
    <w:rsid w:val="006B1FB6"/>
    <w:rsid w:val="006B2764"/>
    <w:rsid w:val="006B2F22"/>
    <w:rsid w:val="006B2FA5"/>
    <w:rsid w:val="006B378B"/>
    <w:rsid w:val="006B4843"/>
    <w:rsid w:val="006B484B"/>
    <w:rsid w:val="006B4E3B"/>
    <w:rsid w:val="006B6844"/>
    <w:rsid w:val="006B6F57"/>
    <w:rsid w:val="006B6F85"/>
    <w:rsid w:val="006B7430"/>
    <w:rsid w:val="006B7F04"/>
    <w:rsid w:val="006C05EF"/>
    <w:rsid w:val="006C0F10"/>
    <w:rsid w:val="006C11AE"/>
    <w:rsid w:val="006C12E6"/>
    <w:rsid w:val="006C132E"/>
    <w:rsid w:val="006C18A5"/>
    <w:rsid w:val="006C19C2"/>
    <w:rsid w:val="006C25DA"/>
    <w:rsid w:val="006C274B"/>
    <w:rsid w:val="006C29B0"/>
    <w:rsid w:val="006C4A31"/>
    <w:rsid w:val="006C4E73"/>
    <w:rsid w:val="006C56E1"/>
    <w:rsid w:val="006C5F3E"/>
    <w:rsid w:val="006C61B5"/>
    <w:rsid w:val="006C62F7"/>
    <w:rsid w:val="006C6460"/>
    <w:rsid w:val="006C6B28"/>
    <w:rsid w:val="006C6DCA"/>
    <w:rsid w:val="006D0171"/>
    <w:rsid w:val="006D15EC"/>
    <w:rsid w:val="006D1665"/>
    <w:rsid w:val="006D1FB4"/>
    <w:rsid w:val="006D244B"/>
    <w:rsid w:val="006D266E"/>
    <w:rsid w:val="006D2680"/>
    <w:rsid w:val="006D2A12"/>
    <w:rsid w:val="006D2DEB"/>
    <w:rsid w:val="006D3AFB"/>
    <w:rsid w:val="006D3E2E"/>
    <w:rsid w:val="006D40A0"/>
    <w:rsid w:val="006D452E"/>
    <w:rsid w:val="006D5020"/>
    <w:rsid w:val="006D51BD"/>
    <w:rsid w:val="006D533C"/>
    <w:rsid w:val="006D537C"/>
    <w:rsid w:val="006D5AE5"/>
    <w:rsid w:val="006D5B4F"/>
    <w:rsid w:val="006D61FB"/>
    <w:rsid w:val="006D6496"/>
    <w:rsid w:val="006D6ECC"/>
    <w:rsid w:val="006D7C23"/>
    <w:rsid w:val="006E1B1E"/>
    <w:rsid w:val="006E2014"/>
    <w:rsid w:val="006E2A90"/>
    <w:rsid w:val="006E2B1C"/>
    <w:rsid w:val="006E320A"/>
    <w:rsid w:val="006E3A6C"/>
    <w:rsid w:val="006E4BC0"/>
    <w:rsid w:val="006E4F14"/>
    <w:rsid w:val="006E54D8"/>
    <w:rsid w:val="006E66AD"/>
    <w:rsid w:val="006E76C6"/>
    <w:rsid w:val="006E7B02"/>
    <w:rsid w:val="006E7E8E"/>
    <w:rsid w:val="006F1096"/>
    <w:rsid w:val="006F1EE1"/>
    <w:rsid w:val="006F3401"/>
    <w:rsid w:val="006F4418"/>
    <w:rsid w:val="006F45B7"/>
    <w:rsid w:val="006F4F11"/>
    <w:rsid w:val="006F536B"/>
    <w:rsid w:val="006F568B"/>
    <w:rsid w:val="006F6186"/>
    <w:rsid w:val="006F63E4"/>
    <w:rsid w:val="006F6D4F"/>
    <w:rsid w:val="006F6F73"/>
    <w:rsid w:val="006F7AEE"/>
    <w:rsid w:val="00700147"/>
    <w:rsid w:val="00700294"/>
    <w:rsid w:val="007004BF"/>
    <w:rsid w:val="007004E9"/>
    <w:rsid w:val="007018FC"/>
    <w:rsid w:val="007022CA"/>
    <w:rsid w:val="00702556"/>
    <w:rsid w:val="00702A4F"/>
    <w:rsid w:val="00702A84"/>
    <w:rsid w:val="00705DFB"/>
    <w:rsid w:val="00706454"/>
    <w:rsid w:val="007064D9"/>
    <w:rsid w:val="00706B94"/>
    <w:rsid w:val="0071047B"/>
    <w:rsid w:val="007105ED"/>
    <w:rsid w:val="00711541"/>
    <w:rsid w:val="00712568"/>
    <w:rsid w:val="00712A0D"/>
    <w:rsid w:val="0071350C"/>
    <w:rsid w:val="00713A25"/>
    <w:rsid w:val="00715453"/>
    <w:rsid w:val="00717A21"/>
    <w:rsid w:val="007202C9"/>
    <w:rsid w:val="00720749"/>
    <w:rsid w:val="00720831"/>
    <w:rsid w:val="00720DEF"/>
    <w:rsid w:val="007215EB"/>
    <w:rsid w:val="0072166D"/>
    <w:rsid w:val="0072182A"/>
    <w:rsid w:val="00721BDF"/>
    <w:rsid w:val="007227A2"/>
    <w:rsid w:val="00722BA0"/>
    <w:rsid w:val="00723068"/>
    <w:rsid w:val="0072354B"/>
    <w:rsid w:val="00723C0B"/>
    <w:rsid w:val="007242C0"/>
    <w:rsid w:val="007255E7"/>
    <w:rsid w:val="0072641F"/>
    <w:rsid w:val="00726E38"/>
    <w:rsid w:val="00726E43"/>
    <w:rsid w:val="00726EB3"/>
    <w:rsid w:val="007274D4"/>
    <w:rsid w:val="00730F58"/>
    <w:rsid w:val="0073105C"/>
    <w:rsid w:val="007311D3"/>
    <w:rsid w:val="00731531"/>
    <w:rsid w:val="0073236B"/>
    <w:rsid w:val="00732B92"/>
    <w:rsid w:val="00733375"/>
    <w:rsid w:val="00733620"/>
    <w:rsid w:val="00736923"/>
    <w:rsid w:val="00736DB9"/>
    <w:rsid w:val="007370CC"/>
    <w:rsid w:val="007372CB"/>
    <w:rsid w:val="00737780"/>
    <w:rsid w:val="00737944"/>
    <w:rsid w:val="00740FDE"/>
    <w:rsid w:val="00741581"/>
    <w:rsid w:val="007417C7"/>
    <w:rsid w:val="007421EB"/>
    <w:rsid w:val="00742833"/>
    <w:rsid w:val="007432AD"/>
    <w:rsid w:val="00745485"/>
    <w:rsid w:val="00745652"/>
    <w:rsid w:val="007479A0"/>
    <w:rsid w:val="00750422"/>
    <w:rsid w:val="0075086A"/>
    <w:rsid w:val="00750C74"/>
    <w:rsid w:val="0075104A"/>
    <w:rsid w:val="007511CB"/>
    <w:rsid w:val="00751D4E"/>
    <w:rsid w:val="00751F80"/>
    <w:rsid w:val="00752D09"/>
    <w:rsid w:val="00753996"/>
    <w:rsid w:val="00753BDC"/>
    <w:rsid w:val="00753C2A"/>
    <w:rsid w:val="00753CBE"/>
    <w:rsid w:val="00754811"/>
    <w:rsid w:val="00754F70"/>
    <w:rsid w:val="00755263"/>
    <w:rsid w:val="007562D7"/>
    <w:rsid w:val="007564FA"/>
    <w:rsid w:val="00756569"/>
    <w:rsid w:val="00756F50"/>
    <w:rsid w:val="0075707D"/>
    <w:rsid w:val="0076112D"/>
    <w:rsid w:val="00761532"/>
    <w:rsid w:val="00763DD8"/>
    <w:rsid w:val="007649A7"/>
    <w:rsid w:val="0076571F"/>
    <w:rsid w:val="007661A2"/>
    <w:rsid w:val="0076660C"/>
    <w:rsid w:val="00766711"/>
    <w:rsid w:val="00767F00"/>
    <w:rsid w:val="00767FF0"/>
    <w:rsid w:val="00770EC0"/>
    <w:rsid w:val="007720A2"/>
    <w:rsid w:val="007722AE"/>
    <w:rsid w:val="00772FDD"/>
    <w:rsid w:val="007732D4"/>
    <w:rsid w:val="007738C8"/>
    <w:rsid w:val="0077392A"/>
    <w:rsid w:val="00773FE5"/>
    <w:rsid w:val="00775345"/>
    <w:rsid w:val="007761B8"/>
    <w:rsid w:val="007768B8"/>
    <w:rsid w:val="007768C7"/>
    <w:rsid w:val="0077714A"/>
    <w:rsid w:val="007806EF"/>
    <w:rsid w:val="00780BE4"/>
    <w:rsid w:val="00780C66"/>
    <w:rsid w:val="00780DF3"/>
    <w:rsid w:val="00781C26"/>
    <w:rsid w:val="00782826"/>
    <w:rsid w:val="00782D39"/>
    <w:rsid w:val="00783E4E"/>
    <w:rsid w:val="0078472C"/>
    <w:rsid w:val="00784DB9"/>
    <w:rsid w:val="00785447"/>
    <w:rsid w:val="0078567D"/>
    <w:rsid w:val="00785CF5"/>
    <w:rsid w:val="00786138"/>
    <w:rsid w:val="0078628D"/>
    <w:rsid w:val="0078691B"/>
    <w:rsid w:val="00786A97"/>
    <w:rsid w:val="00786BDD"/>
    <w:rsid w:val="00786D38"/>
    <w:rsid w:val="00786F8D"/>
    <w:rsid w:val="0078795A"/>
    <w:rsid w:val="00790443"/>
    <w:rsid w:val="00790B95"/>
    <w:rsid w:val="00791330"/>
    <w:rsid w:val="00791A3B"/>
    <w:rsid w:val="00792F64"/>
    <w:rsid w:val="0079372B"/>
    <w:rsid w:val="00793856"/>
    <w:rsid w:val="007943F7"/>
    <w:rsid w:val="007945E7"/>
    <w:rsid w:val="00794A79"/>
    <w:rsid w:val="007959D5"/>
    <w:rsid w:val="00795D9A"/>
    <w:rsid w:val="00795DC6"/>
    <w:rsid w:val="00795F43"/>
    <w:rsid w:val="00796DD6"/>
    <w:rsid w:val="007977C8"/>
    <w:rsid w:val="007A0287"/>
    <w:rsid w:val="007A04C6"/>
    <w:rsid w:val="007A0951"/>
    <w:rsid w:val="007A0BAB"/>
    <w:rsid w:val="007A1870"/>
    <w:rsid w:val="007A212E"/>
    <w:rsid w:val="007A301D"/>
    <w:rsid w:val="007A34FB"/>
    <w:rsid w:val="007A35D6"/>
    <w:rsid w:val="007A39E5"/>
    <w:rsid w:val="007A3AD2"/>
    <w:rsid w:val="007A4834"/>
    <w:rsid w:val="007A4EF1"/>
    <w:rsid w:val="007A5261"/>
    <w:rsid w:val="007A53B7"/>
    <w:rsid w:val="007A6849"/>
    <w:rsid w:val="007A73FE"/>
    <w:rsid w:val="007A77F9"/>
    <w:rsid w:val="007B0F6F"/>
    <w:rsid w:val="007B1DDF"/>
    <w:rsid w:val="007B22B6"/>
    <w:rsid w:val="007B29EC"/>
    <w:rsid w:val="007B316D"/>
    <w:rsid w:val="007B3381"/>
    <w:rsid w:val="007B405B"/>
    <w:rsid w:val="007B41E4"/>
    <w:rsid w:val="007B4C91"/>
    <w:rsid w:val="007B5627"/>
    <w:rsid w:val="007B5985"/>
    <w:rsid w:val="007B5B3B"/>
    <w:rsid w:val="007B6089"/>
    <w:rsid w:val="007B6944"/>
    <w:rsid w:val="007B6B61"/>
    <w:rsid w:val="007B7728"/>
    <w:rsid w:val="007B7982"/>
    <w:rsid w:val="007B7A37"/>
    <w:rsid w:val="007C1664"/>
    <w:rsid w:val="007C168F"/>
    <w:rsid w:val="007C1888"/>
    <w:rsid w:val="007C2710"/>
    <w:rsid w:val="007C300A"/>
    <w:rsid w:val="007C3BA2"/>
    <w:rsid w:val="007C4131"/>
    <w:rsid w:val="007C602F"/>
    <w:rsid w:val="007C6267"/>
    <w:rsid w:val="007C6A42"/>
    <w:rsid w:val="007C7A80"/>
    <w:rsid w:val="007C7DF7"/>
    <w:rsid w:val="007D0C24"/>
    <w:rsid w:val="007D131E"/>
    <w:rsid w:val="007D14D0"/>
    <w:rsid w:val="007D2CBF"/>
    <w:rsid w:val="007D46B4"/>
    <w:rsid w:val="007D49B9"/>
    <w:rsid w:val="007D4BEC"/>
    <w:rsid w:val="007D5617"/>
    <w:rsid w:val="007D5D35"/>
    <w:rsid w:val="007D63CB"/>
    <w:rsid w:val="007D7224"/>
    <w:rsid w:val="007E00E9"/>
    <w:rsid w:val="007E034D"/>
    <w:rsid w:val="007E1175"/>
    <w:rsid w:val="007E14E4"/>
    <w:rsid w:val="007E1F0C"/>
    <w:rsid w:val="007E207C"/>
    <w:rsid w:val="007E2A72"/>
    <w:rsid w:val="007E3019"/>
    <w:rsid w:val="007E3A93"/>
    <w:rsid w:val="007E3D7D"/>
    <w:rsid w:val="007E5450"/>
    <w:rsid w:val="007E5FE0"/>
    <w:rsid w:val="007E6520"/>
    <w:rsid w:val="007E66E6"/>
    <w:rsid w:val="007E77AB"/>
    <w:rsid w:val="007E7D61"/>
    <w:rsid w:val="007E7E5F"/>
    <w:rsid w:val="007F0073"/>
    <w:rsid w:val="007F007B"/>
    <w:rsid w:val="007F01F8"/>
    <w:rsid w:val="007F05BC"/>
    <w:rsid w:val="007F05F5"/>
    <w:rsid w:val="007F44B4"/>
    <w:rsid w:val="007F4941"/>
    <w:rsid w:val="007F497E"/>
    <w:rsid w:val="007F5D3E"/>
    <w:rsid w:val="007F63FD"/>
    <w:rsid w:val="007F70B8"/>
    <w:rsid w:val="007F761C"/>
    <w:rsid w:val="007F7CE0"/>
    <w:rsid w:val="007F7E0B"/>
    <w:rsid w:val="007F7F65"/>
    <w:rsid w:val="0080024F"/>
    <w:rsid w:val="00800D43"/>
    <w:rsid w:val="008010B5"/>
    <w:rsid w:val="00801682"/>
    <w:rsid w:val="0080231C"/>
    <w:rsid w:val="00803392"/>
    <w:rsid w:val="00803E7E"/>
    <w:rsid w:val="00804B90"/>
    <w:rsid w:val="008059B8"/>
    <w:rsid w:val="00806685"/>
    <w:rsid w:val="00806CFE"/>
    <w:rsid w:val="008104C0"/>
    <w:rsid w:val="0081087F"/>
    <w:rsid w:val="00810B7A"/>
    <w:rsid w:val="00810BFA"/>
    <w:rsid w:val="00811019"/>
    <w:rsid w:val="00811AD0"/>
    <w:rsid w:val="00811EFD"/>
    <w:rsid w:val="00812241"/>
    <w:rsid w:val="0081277E"/>
    <w:rsid w:val="00813942"/>
    <w:rsid w:val="00814C7A"/>
    <w:rsid w:val="00815824"/>
    <w:rsid w:val="008161BF"/>
    <w:rsid w:val="00817377"/>
    <w:rsid w:val="0081783E"/>
    <w:rsid w:val="00817A7C"/>
    <w:rsid w:val="008206E4"/>
    <w:rsid w:val="00821504"/>
    <w:rsid w:val="00822BBE"/>
    <w:rsid w:val="00823020"/>
    <w:rsid w:val="008243AE"/>
    <w:rsid w:val="00824828"/>
    <w:rsid w:val="00825B35"/>
    <w:rsid w:val="00826428"/>
    <w:rsid w:val="008265B4"/>
    <w:rsid w:val="00827B33"/>
    <w:rsid w:val="00827C67"/>
    <w:rsid w:val="00830100"/>
    <w:rsid w:val="008301B5"/>
    <w:rsid w:val="0083030B"/>
    <w:rsid w:val="0083039F"/>
    <w:rsid w:val="0083120B"/>
    <w:rsid w:val="00832108"/>
    <w:rsid w:val="00832610"/>
    <w:rsid w:val="00832E8D"/>
    <w:rsid w:val="00833D5B"/>
    <w:rsid w:val="00834315"/>
    <w:rsid w:val="0083437A"/>
    <w:rsid w:val="00834E44"/>
    <w:rsid w:val="00834F40"/>
    <w:rsid w:val="008353C7"/>
    <w:rsid w:val="00835E29"/>
    <w:rsid w:val="00836663"/>
    <w:rsid w:val="00836E84"/>
    <w:rsid w:val="0084045D"/>
    <w:rsid w:val="00843189"/>
    <w:rsid w:val="00843275"/>
    <w:rsid w:val="0084336E"/>
    <w:rsid w:val="00843495"/>
    <w:rsid w:val="008436D3"/>
    <w:rsid w:val="00843FBB"/>
    <w:rsid w:val="008441CD"/>
    <w:rsid w:val="00844AEF"/>
    <w:rsid w:val="0084526A"/>
    <w:rsid w:val="008455FA"/>
    <w:rsid w:val="00845925"/>
    <w:rsid w:val="00845E5E"/>
    <w:rsid w:val="0084660B"/>
    <w:rsid w:val="008476BF"/>
    <w:rsid w:val="00851455"/>
    <w:rsid w:val="008518AB"/>
    <w:rsid w:val="00851B35"/>
    <w:rsid w:val="00851BB2"/>
    <w:rsid w:val="00853EED"/>
    <w:rsid w:val="00854087"/>
    <w:rsid w:val="00854C6F"/>
    <w:rsid w:val="00855A7A"/>
    <w:rsid w:val="00855BF3"/>
    <w:rsid w:val="0085668A"/>
    <w:rsid w:val="0085686F"/>
    <w:rsid w:val="00857166"/>
    <w:rsid w:val="00860097"/>
    <w:rsid w:val="00860E24"/>
    <w:rsid w:val="008611F0"/>
    <w:rsid w:val="008614E8"/>
    <w:rsid w:val="00861CBD"/>
    <w:rsid w:val="00861EBF"/>
    <w:rsid w:val="008620E6"/>
    <w:rsid w:val="00863267"/>
    <w:rsid w:val="0086389F"/>
    <w:rsid w:val="00863DC3"/>
    <w:rsid w:val="008640F3"/>
    <w:rsid w:val="00866694"/>
    <w:rsid w:val="00866811"/>
    <w:rsid w:val="008715C5"/>
    <w:rsid w:val="00871799"/>
    <w:rsid w:val="0087293F"/>
    <w:rsid w:val="00872CB6"/>
    <w:rsid w:val="008737F6"/>
    <w:rsid w:val="00874A9A"/>
    <w:rsid w:val="0087507E"/>
    <w:rsid w:val="00876DB9"/>
    <w:rsid w:val="0087747F"/>
    <w:rsid w:val="008809B1"/>
    <w:rsid w:val="00880B8E"/>
    <w:rsid w:val="008813EE"/>
    <w:rsid w:val="00881B6D"/>
    <w:rsid w:val="0088200B"/>
    <w:rsid w:val="00882329"/>
    <w:rsid w:val="008828A6"/>
    <w:rsid w:val="00883229"/>
    <w:rsid w:val="0088348C"/>
    <w:rsid w:val="008838FB"/>
    <w:rsid w:val="0088423E"/>
    <w:rsid w:val="00884A40"/>
    <w:rsid w:val="00884DFC"/>
    <w:rsid w:val="008855FC"/>
    <w:rsid w:val="00885862"/>
    <w:rsid w:val="00885EF4"/>
    <w:rsid w:val="0088605D"/>
    <w:rsid w:val="0088613E"/>
    <w:rsid w:val="00886170"/>
    <w:rsid w:val="00887506"/>
    <w:rsid w:val="008879C9"/>
    <w:rsid w:val="00887AB2"/>
    <w:rsid w:val="00887B61"/>
    <w:rsid w:val="008905A4"/>
    <w:rsid w:val="0089060A"/>
    <w:rsid w:val="00890614"/>
    <w:rsid w:val="00890DB9"/>
    <w:rsid w:val="008917A3"/>
    <w:rsid w:val="00891F02"/>
    <w:rsid w:val="0089364B"/>
    <w:rsid w:val="00894329"/>
    <w:rsid w:val="0089506B"/>
    <w:rsid w:val="00895D0D"/>
    <w:rsid w:val="008965FF"/>
    <w:rsid w:val="008A06FB"/>
    <w:rsid w:val="008A0737"/>
    <w:rsid w:val="008A07EA"/>
    <w:rsid w:val="008A106C"/>
    <w:rsid w:val="008A1169"/>
    <w:rsid w:val="008A1538"/>
    <w:rsid w:val="008A1EC0"/>
    <w:rsid w:val="008A2D73"/>
    <w:rsid w:val="008A36DA"/>
    <w:rsid w:val="008A5202"/>
    <w:rsid w:val="008A5766"/>
    <w:rsid w:val="008A63B4"/>
    <w:rsid w:val="008B1477"/>
    <w:rsid w:val="008B168A"/>
    <w:rsid w:val="008B274B"/>
    <w:rsid w:val="008B29D0"/>
    <w:rsid w:val="008B2C3C"/>
    <w:rsid w:val="008B33FC"/>
    <w:rsid w:val="008B408F"/>
    <w:rsid w:val="008B4833"/>
    <w:rsid w:val="008B4B57"/>
    <w:rsid w:val="008B5E54"/>
    <w:rsid w:val="008B6092"/>
    <w:rsid w:val="008B7F19"/>
    <w:rsid w:val="008C030D"/>
    <w:rsid w:val="008C07EF"/>
    <w:rsid w:val="008C088C"/>
    <w:rsid w:val="008C09B5"/>
    <w:rsid w:val="008C09EC"/>
    <w:rsid w:val="008C0B37"/>
    <w:rsid w:val="008C0BC2"/>
    <w:rsid w:val="008C225B"/>
    <w:rsid w:val="008C25BC"/>
    <w:rsid w:val="008C3D33"/>
    <w:rsid w:val="008C4333"/>
    <w:rsid w:val="008C4A9A"/>
    <w:rsid w:val="008C4A9F"/>
    <w:rsid w:val="008C4DD0"/>
    <w:rsid w:val="008C52E2"/>
    <w:rsid w:val="008C6217"/>
    <w:rsid w:val="008C658F"/>
    <w:rsid w:val="008C6973"/>
    <w:rsid w:val="008C6EB7"/>
    <w:rsid w:val="008C71AB"/>
    <w:rsid w:val="008C74EB"/>
    <w:rsid w:val="008D000D"/>
    <w:rsid w:val="008D0D54"/>
    <w:rsid w:val="008D1827"/>
    <w:rsid w:val="008D1CBC"/>
    <w:rsid w:val="008D1E0E"/>
    <w:rsid w:val="008D2CF3"/>
    <w:rsid w:val="008D2DAE"/>
    <w:rsid w:val="008D301E"/>
    <w:rsid w:val="008D3561"/>
    <w:rsid w:val="008D39AA"/>
    <w:rsid w:val="008D4651"/>
    <w:rsid w:val="008D4664"/>
    <w:rsid w:val="008D46D1"/>
    <w:rsid w:val="008D4DC2"/>
    <w:rsid w:val="008D4F4D"/>
    <w:rsid w:val="008D79BA"/>
    <w:rsid w:val="008D7CA9"/>
    <w:rsid w:val="008E084D"/>
    <w:rsid w:val="008E08D9"/>
    <w:rsid w:val="008E0D74"/>
    <w:rsid w:val="008E17F7"/>
    <w:rsid w:val="008E1EEF"/>
    <w:rsid w:val="008E2354"/>
    <w:rsid w:val="008E2401"/>
    <w:rsid w:val="008E246E"/>
    <w:rsid w:val="008E24B3"/>
    <w:rsid w:val="008E27E2"/>
    <w:rsid w:val="008E2F11"/>
    <w:rsid w:val="008E3430"/>
    <w:rsid w:val="008E4207"/>
    <w:rsid w:val="008E4A40"/>
    <w:rsid w:val="008E4C37"/>
    <w:rsid w:val="008E5A06"/>
    <w:rsid w:val="008E5BD2"/>
    <w:rsid w:val="008E61F3"/>
    <w:rsid w:val="008E6844"/>
    <w:rsid w:val="008E6E3A"/>
    <w:rsid w:val="008E70A6"/>
    <w:rsid w:val="008E77C4"/>
    <w:rsid w:val="008E7C94"/>
    <w:rsid w:val="008F2F3D"/>
    <w:rsid w:val="008F3683"/>
    <w:rsid w:val="008F37E3"/>
    <w:rsid w:val="008F3BD7"/>
    <w:rsid w:val="008F45BE"/>
    <w:rsid w:val="008F4FA4"/>
    <w:rsid w:val="008F5132"/>
    <w:rsid w:val="008F566A"/>
    <w:rsid w:val="008F5BAB"/>
    <w:rsid w:val="008F5EEE"/>
    <w:rsid w:val="008F685F"/>
    <w:rsid w:val="008F6928"/>
    <w:rsid w:val="008F6D36"/>
    <w:rsid w:val="008F6EE7"/>
    <w:rsid w:val="008F72E1"/>
    <w:rsid w:val="008F752B"/>
    <w:rsid w:val="009002D6"/>
    <w:rsid w:val="009020F3"/>
    <w:rsid w:val="009024F6"/>
    <w:rsid w:val="00902A02"/>
    <w:rsid w:val="00903E4D"/>
    <w:rsid w:val="009053D6"/>
    <w:rsid w:val="009054A3"/>
    <w:rsid w:val="00905E96"/>
    <w:rsid w:val="009066AF"/>
    <w:rsid w:val="00906C48"/>
    <w:rsid w:val="009073E9"/>
    <w:rsid w:val="00907EBF"/>
    <w:rsid w:val="0091011D"/>
    <w:rsid w:val="00911747"/>
    <w:rsid w:val="00912C36"/>
    <w:rsid w:val="00913630"/>
    <w:rsid w:val="00913660"/>
    <w:rsid w:val="00913A6B"/>
    <w:rsid w:val="00913AEE"/>
    <w:rsid w:val="0091466E"/>
    <w:rsid w:val="00915EE9"/>
    <w:rsid w:val="00916006"/>
    <w:rsid w:val="0091634A"/>
    <w:rsid w:val="0091683E"/>
    <w:rsid w:val="00916FB4"/>
    <w:rsid w:val="00917658"/>
    <w:rsid w:val="00917B99"/>
    <w:rsid w:val="00917C58"/>
    <w:rsid w:val="009202C6"/>
    <w:rsid w:val="009204C4"/>
    <w:rsid w:val="00920839"/>
    <w:rsid w:val="00921158"/>
    <w:rsid w:val="00921CFB"/>
    <w:rsid w:val="00922CB3"/>
    <w:rsid w:val="009230AD"/>
    <w:rsid w:val="00923F29"/>
    <w:rsid w:val="00924C66"/>
    <w:rsid w:val="00924C81"/>
    <w:rsid w:val="009254D1"/>
    <w:rsid w:val="00925533"/>
    <w:rsid w:val="00925680"/>
    <w:rsid w:val="00926021"/>
    <w:rsid w:val="009264EB"/>
    <w:rsid w:val="00926585"/>
    <w:rsid w:val="009269B5"/>
    <w:rsid w:val="00926D14"/>
    <w:rsid w:val="0092723D"/>
    <w:rsid w:val="009278CF"/>
    <w:rsid w:val="00927949"/>
    <w:rsid w:val="009303A4"/>
    <w:rsid w:val="00930870"/>
    <w:rsid w:val="0093093C"/>
    <w:rsid w:val="00930F56"/>
    <w:rsid w:val="00931169"/>
    <w:rsid w:val="009319E7"/>
    <w:rsid w:val="00931F2B"/>
    <w:rsid w:val="00934011"/>
    <w:rsid w:val="0093417D"/>
    <w:rsid w:val="00934C18"/>
    <w:rsid w:val="0093581E"/>
    <w:rsid w:val="0093601B"/>
    <w:rsid w:val="009364A5"/>
    <w:rsid w:val="00936610"/>
    <w:rsid w:val="00936987"/>
    <w:rsid w:val="009377BD"/>
    <w:rsid w:val="00937A29"/>
    <w:rsid w:val="00937C91"/>
    <w:rsid w:val="009403FB"/>
    <w:rsid w:val="0094064C"/>
    <w:rsid w:val="0094078F"/>
    <w:rsid w:val="00940E06"/>
    <w:rsid w:val="009411CB"/>
    <w:rsid w:val="00941233"/>
    <w:rsid w:val="00941D54"/>
    <w:rsid w:val="00941F81"/>
    <w:rsid w:val="009438F7"/>
    <w:rsid w:val="00943E46"/>
    <w:rsid w:val="00944533"/>
    <w:rsid w:val="00944D5F"/>
    <w:rsid w:val="00946221"/>
    <w:rsid w:val="00946A3C"/>
    <w:rsid w:val="00946E3F"/>
    <w:rsid w:val="0094765E"/>
    <w:rsid w:val="009476BB"/>
    <w:rsid w:val="00947A8D"/>
    <w:rsid w:val="0095333C"/>
    <w:rsid w:val="0095373D"/>
    <w:rsid w:val="00953B6C"/>
    <w:rsid w:val="00953BD2"/>
    <w:rsid w:val="00953EC6"/>
    <w:rsid w:val="00955E53"/>
    <w:rsid w:val="00956AD5"/>
    <w:rsid w:val="0095721D"/>
    <w:rsid w:val="00957AC6"/>
    <w:rsid w:val="009607DE"/>
    <w:rsid w:val="00960A80"/>
    <w:rsid w:val="00961EFC"/>
    <w:rsid w:val="0096276F"/>
    <w:rsid w:val="00962B07"/>
    <w:rsid w:val="00962EBD"/>
    <w:rsid w:val="00964379"/>
    <w:rsid w:val="009666B8"/>
    <w:rsid w:val="00966780"/>
    <w:rsid w:val="00967749"/>
    <w:rsid w:val="00967A47"/>
    <w:rsid w:val="00970567"/>
    <w:rsid w:val="00970C67"/>
    <w:rsid w:val="009713F8"/>
    <w:rsid w:val="00971FD4"/>
    <w:rsid w:val="009720D8"/>
    <w:rsid w:val="00972663"/>
    <w:rsid w:val="0097278B"/>
    <w:rsid w:val="0097299A"/>
    <w:rsid w:val="009730A7"/>
    <w:rsid w:val="00973CF2"/>
    <w:rsid w:val="00973ED4"/>
    <w:rsid w:val="00977C64"/>
    <w:rsid w:val="00977E79"/>
    <w:rsid w:val="00980515"/>
    <w:rsid w:val="00980AED"/>
    <w:rsid w:val="00981372"/>
    <w:rsid w:val="00981F1B"/>
    <w:rsid w:val="00982094"/>
    <w:rsid w:val="00982F9F"/>
    <w:rsid w:val="00983445"/>
    <w:rsid w:val="0098473B"/>
    <w:rsid w:val="00984C1C"/>
    <w:rsid w:val="009852AC"/>
    <w:rsid w:val="009852B8"/>
    <w:rsid w:val="009858C3"/>
    <w:rsid w:val="00985FAB"/>
    <w:rsid w:val="009861B5"/>
    <w:rsid w:val="009867DA"/>
    <w:rsid w:val="00986A07"/>
    <w:rsid w:val="00987998"/>
    <w:rsid w:val="00990BEE"/>
    <w:rsid w:val="00991891"/>
    <w:rsid w:val="009930F4"/>
    <w:rsid w:val="00993562"/>
    <w:rsid w:val="00996799"/>
    <w:rsid w:val="0099705D"/>
    <w:rsid w:val="009A025D"/>
    <w:rsid w:val="009A034B"/>
    <w:rsid w:val="009A04B3"/>
    <w:rsid w:val="009A0864"/>
    <w:rsid w:val="009A0993"/>
    <w:rsid w:val="009A0B00"/>
    <w:rsid w:val="009A0CE6"/>
    <w:rsid w:val="009A1476"/>
    <w:rsid w:val="009A1935"/>
    <w:rsid w:val="009A21E5"/>
    <w:rsid w:val="009A2BA8"/>
    <w:rsid w:val="009A3963"/>
    <w:rsid w:val="009A3EB9"/>
    <w:rsid w:val="009A4BA0"/>
    <w:rsid w:val="009A4F0C"/>
    <w:rsid w:val="009A5876"/>
    <w:rsid w:val="009A7051"/>
    <w:rsid w:val="009A778A"/>
    <w:rsid w:val="009B0236"/>
    <w:rsid w:val="009B0753"/>
    <w:rsid w:val="009B0764"/>
    <w:rsid w:val="009B1381"/>
    <w:rsid w:val="009B185F"/>
    <w:rsid w:val="009B1BB3"/>
    <w:rsid w:val="009B1E20"/>
    <w:rsid w:val="009B1FB9"/>
    <w:rsid w:val="009B33E0"/>
    <w:rsid w:val="009B3971"/>
    <w:rsid w:val="009B3C0D"/>
    <w:rsid w:val="009B4666"/>
    <w:rsid w:val="009B5CA6"/>
    <w:rsid w:val="009B5F62"/>
    <w:rsid w:val="009B75C2"/>
    <w:rsid w:val="009C029A"/>
    <w:rsid w:val="009C15EF"/>
    <w:rsid w:val="009C239F"/>
    <w:rsid w:val="009C2611"/>
    <w:rsid w:val="009C2824"/>
    <w:rsid w:val="009C39AE"/>
    <w:rsid w:val="009C4C4D"/>
    <w:rsid w:val="009C56F6"/>
    <w:rsid w:val="009C5E08"/>
    <w:rsid w:val="009C642B"/>
    <w:rsid w:val="009C64E9"/>
    <w:rsid w:val="009C6D10"/>
    <w:rsid w:val="009C7618"/>
    <w:rsid w:val="009C7A4F"/>
    <w:rsid w:val="009D224E"/>
    <w:rsid w:val="009D230C"/>
    <w:rsid w:val="009D35B8"/>
    <w:rsid w:val="009D4D1F"/>
    <w:rsid w:val="009D53C2"/>
    <w:rsid w:val="009D56CB"/>
    <w:rsid w:val="009D6025"/>
    <w:rsid w:val="009D627D"/>
    <w:rsid w:val="009D6353"/>
    <w:rsid w:val="009D6398"/>
    <w:rsid w:val="009D7337"/>
    <w:rsid w:val="009E0E4B"/>
    <w:rsid w:val="009E0FC7"/>
    <w:rsid w:val="009E1711"/>
    <w:rsid w:val="009E1AF7"/>
    <w:rsid w:val="009E2D6F"/>
    <w:rsid w:val="009E45E8"/>
    <w:rsid w:val="009E4829"/>
    <w:rsid w:val="009E48F8"/>
    <w:rsid w:val="009E4D57"/>
    <w:rsid w:val="009E5761"/>
    <w:rsid w:val="009E6237"/>
    <w:rsid w:val="009E658E"/>
    <w:rsid w:val="009E7659"/>
    <w:rsid w:val="009E7934"/>
    <w:rsid w:val="009F1167"/>
    <w:rsid w:val="009F212D"/>
    <w:rsid w:val="009F3261"/>
    <w:rsid w:val="009F36B9"/>
    <w:rsid w:val="009F4CC5"/>
    <w:rsid w:val="009F4E0E"/>
    <w:rsid w:val="009F557E"/>
    <w:rsid w:val="009F5A71"/>
    <w:rsid w:val="009F5F50"/>
    <w:rsid w:val="009F696C"/>
    <w:rsid w:val="009F6B77"/>
    <w:rsid w:val="00A009FC"/>
    <w:rsid w:val="00A01A8F"/>
    <w:rsid w:val="00A01D9E"/>
    <w:rsid w:val="00A01DFB"/>
    <w:rsid w:val="00A02052"/>
    <w:rsid w:val="00A020A2"/>
    <w:rsid w:val="00A02A0C"/>
    <w:rsid w:val="00A03BA0"/>
    <w:rsid w:val="00A03D0C"/>
    <w:rsid w:val="00A04B1D"/>
    <w:rsid w:val="00A050F7"/>
    <w:rsid w:val="00A05172"/>
    <w:rsid w:val="00A060E4"/>
    <w:rsid w:val="00A065A3"/>
    <w:rsid w:val="00A06FA9"/>
    <w:rsid w:val="00A107CA"/>
    <w:rsid w:val="00A108B6"/>
    <w:rsid w:val="00A11601"/>
    <w:rsid w:val="00A12E61"/>
    <w:rsid w:val="00A140A7"/>
    <w:rsid w:val="00A1591C"/>
    <w:rsid w:val="00A15E5C"/>
    <w:rsid w:val="00A15F92"/>
    <w:rsid w:val="00A16323"/>
    <w:rsid w:val="00A165F8"/>
    <w:rsid w:val="00A16D87"/>
    <w:rsid w:val="00A16E30"/>
    <w:rsid w:val="00A1723A"/>
    <w:rsid w:val="00A17B24"/>
    <w:rsid w:val="00A17CC1"/>
    <w:rsid w:val="00A17CFA"/>
    <w:rsid w:val="00A20179"/>
    <w:rsid w:val="00A20B12"/>
    <w:rsid w:val="00A21801"/>
    <w:rsid w:val="00A218E6"/>
    <w:rsid w:val="00A21D5A"/>
    <w:rsid w:val="00A222AE"/>
    <w:rsid w:val="00A22C2F"/>
    <w:rsid w:val="00A23C02"/>
    <w:rsid w:val="00A255C7"/>
    <w:rsid w:val="00A2564A"/>
    <w:rsid w:val="00A26504"/>
    <w:rsid w:val="00A26644"/>
    <w:rsid w:val="00A26D67"/>
    <w:rsid w:val="00A271D9"/>
    <w:rsid w:val="00A30846"/>
    <w:rsid w:val="00A311BB"/>
    <w:rsid w:val="00A3214F"/>
    <w:rsid w:val="00A32169"/>
    <w:rsid w:val="00A32E10"/>
    <w:rsid w:val="00A32E4F"/>
    <w:rsid w:val="00A34AA5"/>
    <w:rsid w:val="00A34B19"/>
    <w:rsid w:val="00A34D67"/>
    <w:rsid w:val="00A3715B"/>
    <w:rsid w:val="00A37721"/>
    <w:rsid w:val="00A401CF"/>
    <w:rsid w:val="00A41B19"/>
    <w:rsid w:val="00A41B6D"/>
    <w:rsid w:val="00A41BE0"/>
    <w:rsid w:val="00A41E88"/>
    <w:rsid w:val="00A4212B"/>
    <w:rsid w:val="00A4216E"/>
    <w:rsid w:val="00A43255"/>
    <w:rsid w:val="00A433B3"/>
    <w:rsid w:val="00A4567C"/>
    <w:rsid w:val="00A47F86"/>
    <w:rsid w:val="00A50C70"/>
    <w:rsid w:val="00A52056"/>
    <w:rsid w:val="00A521DB"/>
    <w:rsid w:val="00A52C65"/>
    <w:rsid w:val="00A52FD6"/>
    <w:rsid w:val="00A533E6"/>
    <w:rsid w:val="00A53864"/>
    <w:rsid w:val="00A5501B"/>
    <w:rsid w:val="00A553B8"/>
    <w:rsid w:val="00A55CE8"/>
    <w:rsid w:val="00A56E44"/>
    <w:rsid w:val="00A57C59"/>
    <w:rsid w:val="00A60D5A"/>
    <w:rsid w:val="00A623F7"/>
    <w:rsid w:val="00A63C38"/>
    <w:rsid w:val="00A64572"/>
    <w:rsid w:val="00A64968"/>
    <w:rsid w:val="00A64A7F"/>
    <w:rsid w:val="00A662AF"/>
    <w:rsid w:val="00A6686D"/>
    <w:rsid w:val="00A7041A"/>
    <w:rsid w:val="00A70CE7"/>
    <w:rsid w:val="00A70F6E"/>
    <w:rsid w:val="00A715CA"/>
    <w:rsid w:val="00A72058"/>
    <w:rsid w:val="00A720F9"/>
    <w:rsid w:val="00A73F09"/>
    <w:rsid w:val="00A74753"/>
    <w:rsid w:val="00A74910"/>
    <w:rsid w:val="00A74944"/>
    <w:rsid w:val="00A74D2F"/>
    <w:rsid w:val="00A74FCB"/>
    <w:rsid w:val="00A75071"/>
    <w:rsid w:val="00A752FF"/>
    <w:rsid w:val="00A75FD2"/>
    <w:rsid w:val="00A762C4"/>
    <w:rsid w:val="00A76335"/>
    <w:rsid w:val="00A7697E"/>
    <w:rsid w:val="00A8002D"/>
    <w:rsid w:val="00A80260"/>
    <w:rsid w:val="00A80676"/>
    <w:rsid w:val="00A8120E"/>
    <w:rsid w:val="00A81A4C"/>
    <w:rsid w:val="00A820D5"/>
    <w:rsid w:val="00A82C4C"/>
    <w:rsid w:val="00A831E8"/>
    <w:rsid w:val="00A8360C"/>
    <w:rsid w:val="00A849A7"/>
    <w:rsid w:val="00A864A0"/>
    <w:rsid w:val="00A869DA"/>
    <w:rsid w:val="00A86AF0"/>
    <w:rsid w:val="00A87C74"/>
    <w:rsid w:val="00A87F95"/>
    <w:rsid w:val="00A90499"/>
    <w:rsid w:val="00A9053D"/>
    <w:rsid w:val="00A91573"/>
    <w:rsid w:val="00A92877"/>
    <w:rsid w:val="00A928B5"/>
    <w:rsid w:val="00A92D98"/>
    <w:rsid w:val="00A92F4C"/>
    <w:rsid w:val="00A9374A"/>
    <w:rsid w:val="00A93823"/>
    <w:rsid w:val="00A9398A"/>
    <w:rsid w:val="00A94C7D"/>
    <w:rsid w:val="00A95198"/>
    <w:rsid w:val="00A95897"/>
    <w:rsid w:val="00A95E61"/>
    <w:rsid w:val="00A96263"/>
    <w:rsid w:val="00A96444"/>
    <w:rsid w:val="00A96A3A"/>
    <w:rsid w:val="00A96FA5"/>
    <w:rsid w:val="00A97E76"/>
    <w:rsid w:val="00AA07F7"/>
    <w:rsid w:val="00AA161B"/>
    <w:rsid w:val="00AA2D33"/>
    <w:rsid w:val="00AA2EC4"/>
    <w:rsid w:val="00AA4F7E"/>
    <w:rsid w:val="00AA5BC7"/>
    <w:rsid w:val="00AA628B"/>
    <w:rsid w:val="00AA6BD0"/>
    <w:rsid w:val="00AA70E9"/>
    <w:rsid w:val="00AA761F"/>
    <w:rsid w:val="00AA7C17"/>
    <w:rsid w:val="00AA7C83"/>
    <w:rsid w:val="00AB1193"/>
    <w:rsid w:val="00AB1529"/>
    <w:rsid w:val="00AB2D8F"/>
    <w:rsid w:val="00AB336D"/>
    <w:rsid w:val="00AB3C70"/>
    <w:rsid w:val="00AB4897"/>
    <w:rsid w:val="00AB49E0"/>
    <w:rsid w:val="00AB5277"/>
    <w:rsid w:val="00AB5B0B"/>
    <w:rsid w:val="00AB5B7E"/>
    <w:rsid w:val="00AB5D66"/>
    <w:rsid w:val="00AB5E07"/>
    <w:rsid w:val="00AB5EC0"/>
    <w:rsid w:val="00AB76E0"/>
    <w:rsid w:val="00AB7BEF"/>
    <w:rsid w:val="00AC0015"/>
    <w:rsid w:val="00AC044A"/>
    <w:rsid w:val="00AC1629"/>
    <w:rsid w:val="00AC29E8"/>
    <w:rsid w:val="00AC29FD"/>
    <w:rsid w:val="00AC3B33"/>
    <w:rsid w:val="00AC4347"/>
    <w:rsid w:val="00AC4D3A"/>
    <w:rsid w:val="00AC55B1"/>
    <w:rsid w:val="00AC5A9D"/>
    <w:rsid w:val="00AC62D3"/>
    <w:rsid w:val="00AC673C"/>
    <w:rsid w:val="00AC677D"/>
    <w:rsid w:val="00AC7AED"/>
    <w:rsid w:val="00AD0BAD"/>
    <w:rsid w:val="00AD19A5"/>
    <w:rsid w:val="00AD2867"/>
    <w:rsid w:val="00AD2F28"/>
    <w:rsid w:val="00AD3516"/>
    <w:rsid w:val="00AD361F"/>
    <w:rsid w:val="00AD47F0"/>
    <w:rsid w:val="00AD4A1F"/>
    <w:rsid w:val="00AD4ABC"/>
    <w:rsid w:val="00AD7975"/>
    <w:rsid w:val="00AD79AC"/>
    <w:rsid w:val="00AD7AB3"/>
    <w:rsid w:val="00AE000B"/>
    <w:rsid w:val="00AE1B30"/>
    <w:rsid w:val="00AE1DA3"/>
    <w:rsid w:val="00AE274C"/>
    <w:rsid w:val="00AE280A"/>
    <w:rsid w:val="00AE34E2"/>
    <w:rsid w:val="00AE3670"/>
    <w:rsid w:val="00AE37D2"/>
    <w:rsid w:val="00AE3995"/>
    <w:rsid w:val="00AE4FF7"/>
    <w:rsid w:val="00AE5FD0"/>
    <w:rsid w:val="00AE62C3"/>
    <w:rsid w:val="00AE6E6B"/>
    <w:rsid w:val="00AE71DA"/>
    <w:rsid w:val="00AE7314"/>
    <w:rsid w:val="00AE79A5"/>
    <w:rsid w:val="00AE7A06"/>
    <w:rsid w:val="00AF056A"/>
    <w:rsid w:val="00AF0979"/>
    <w:rsid w:val="00AF0C2E"/>
    <w:rsid w:val="00AF15A9"/>
    <w:rsid w:val="00AF1A0A"/>
    <w:rsid w:val="00AF23F4"/>
    <w:rsid w:val="00AF334A"/>
    <w:rsid w:val="00AF40F6"/>
    <w:rsid w:val="00AF55D3"/>
    <w:rsid w:val="00AF55FE"/>
    <w:rsid w:val="00AF571C"/>
    <w:rsid w:val="00AF5888"/>
    <w:rsid w:val="00AF63BB"/>
    <w:rsid w:val="00AF75F3"/>
    <w:rsid w:val="00AF7C35"/>
    <w:rsid w:val="00B007E1"/>
    <w:rsid w:val="00B00EB6"/>
    <w:rsid w:val="00B012A3"/>
    <w:rsid w:val="00B0290D"/>
    <w:rsid w:val="00B03852"/>
    <w:rsid w:val="00B04D63"/>
    <w:rsid w:val="00B05566"/>
    <w:rsid w:val="00B05ABB"/>
    <w:rsid w:val="00B06D83"/>
    <w:rsid w:val="00B07DAE"/>
    <w:rsid w:val="00B1039F"/>
    <w:rsid w:val="00B110DF"/>
    <w:rsid w:val="00B13B45"/>
    <w:rsid w:val="00B13D33"/>
    <w:rsid w:val="00B13E62"/>
    <w:rsid w:val="00B14B16"/>
    <w:rsid w:val="00B1504A"/>
    <w:rsid w:val="00B1506F"/>
    <w:rsid w:val="00B1586D"/>
    <w:rsid w:val="00B15B6A"/>
    <w:rsid w:val="00B15EDC"/>
    <w:rsid w:val="00B162AB"/>
    <w:rsid w:val="00B16AF4"/>
    <w:rsid w:val="00B17067"/>
    <w:rsid w:val="00B1781A"/>
    <w:rsid w:val="00B17D5F"/>
    <w:rsid w:val="00B204DE"/>
    <w:rsid w:val="00B20886"/>
    <w:rsid w:val="00B2088C"/>
    <w:rsid w:val="00B20AFE"/>
    <w:rsid w:val="00B212BE"/>
    <w:rsid w:val="00B216C6"/>
    <w:rsid w:val="00B221DF"/>
    <w:rsid w:val="00B2246F"/>
    <w:rsid w:val="00B22CD7"/>
    <w:rsid w:val="00B2434A"/>
    <w:rsid w:val="00B243DB"/>
    <w:rsid w:val="00B24462"/>
    <w:rsid w:val="00B24C62"/>
    <w:rsid w:val="00B2547D"/>
    <w:rsid w:val="00B25AAC"/>
    <w:rsid w:val="00B26011"/>
    <w:rsid w:val="00B26791"/>
    <w:rsid w:val="00B26A09"/>
    <w:rsid w:val="00B27528"/>
    <w:rsid w:val="00B27B83"/>
    <w:rsid w:val="00B27FA5"/>
    <w:rsid w:val="00B33A66"/>
    <w:rsid w:val="00B344DE"/>
    <w:rsid w:val="00B36257"/>
    <w:rsid w:val="00B3671E"/>
    <w:rsid w:val="00B3683A"/>
    <w:rsid w:val="00B373A8"/>
    <w:rsid w:val="00B40B13"/>
    <w:rsid w:val="00B40C7D"/>
    <w:rsid w:val="00B41D31"/>
    <w:rsid w:val="00B4323F"/>
    <w:rsid w:val="00B43C2F"/>
    <w:rsid w:val="00B43C9D"/>
    <w:rsid w:val="00B4469C"/>
    <w:rsid w:val="00B450D2"/>
    <w:rsid w:val="00B455C9"/>
    <w:rsid w:val="00B46F87"/>
    <w:rsid w:val="00B4702C"/>
    <w:rsid w:val="00B47283"/>
    <w:rsid w:val="00B47B82"/>
    <w:rsid w:val="00B47D80"/>
    <w:rsid w:val="00B47FF2"/>
    <w:rsid w:val="00B50818"/>
    <w:rsid w:val="00B50C53"/>
    <w:rsid w:val="00B51843"/>
    <w:rsid w:val="00B5405F"/>
    <w:rsid w:val="00B54750"/>
    <w:rsid w:val="00B54814"/>
    <w:rsid w:val="00B548DB"/>
    <w:rsid w:val="00B54906"/>
    <w:rsid w:val="00B566B2"/>
    <w:rsid w:val="00B56E5F"/>
    <w:rsid w:val="00B57B7D"/>
    <w:rsid w:val="00B60408"/>
    <w:rsid w:val="00B604CD"/>
    <w:rsid w:val="00B616C6"/>
    <w:rsid w:val="00B61993"/>
    <w:rsid w:val="00B61FA2"/>
    <w:rsid w:val="00B62E00"/>
    <w:rsid w:val="00B64825"/>
    <w:rsid w:val="00B64845"/>
    <w:rsid w:val="00B64CEB"/>
    <w:rsid w:val="00B64EAD"/>
    <w:rsid w:val="00B64EB4"/>
    <w:rsid w:val="00B664B2"/>
    <w:rsid w:val="00B6682F"/>
    <w:rsid w:val="00B6763C"/>
    <w:rsid w:val="00B67A82"/>
    <w:rsid w:val="00B702D8"/>
    <w:rsid w:val="00B703FE"/>
    <w:rsid w:val="00B707AE"/>
    <w:rsid w:val="00B7241F"/>
    <w:rsid w:val="00B727F2"/>
    <w:rsid w:val="00B72B9D"/>
    <w:rsid w:val="00B742C2"/>
    <w:rsid w:val="00B7446D"/>
    <w:rsid w:val="00B74807"/>
    <w:rsid w:val="00B75C5F"/>
    <w:rsid w:val="00B761DC"/>
    <w:rsid w:val="00B7626B"/>
    <w:rsid w:val="00B777BE"/>
    <w:rsid w:val="00B800F9"/>
    <w:rsid w:val="00B802F4"/>
    <w:rsid w:val="00B80937"/>
    <w:rsid w:val="00B809DE"/>
    <w:rsid w:val="00B816B1"/>
    <w:rsid w:val="00B81A11"/>
    <w:rsid w:val="00B81D9E"/>
    <w:rsid w:val="00B81F34"/>
    <w:rsid w:val="00B8239D"/>
    <w:rsid w:val="00B825FB"/>
    <w:rsid w:val="00B82887"/>
    <w:rsid w:val="00B84395"/>
    <w:rsid w:val="00B84E28"/>
    <w:rsid w:val="00B8688C"/>
    <w:rsid w:val="00B90060"/>
    <w:rsid w:val="00B903B3"/>
    <w:rsid w:val="00B90505"/>
    <w:rsid w:val="00B905F4"/>
    <w:rsid w:val="00B91CDA"/>
    <w:rsid w:val="00B9251F"/>
    <w:rsid w:val="00B93372"/>
    <w:rsid w:val="00B93623"/>
    <w:rsid w:val="00B94880"/>
    <w:rsid w:val="00B9503F"/>
    <w:rsid w:val="00B9538A"/>
    <w:rsid w:val="00B95543"/>
    <w:rsid w:val="00B95DE5"/>
    <w:rsid w:val="00B96373"/>
    <w:rsid w:val="00B96628"/>
    <w:rsid w:val="00B97139"/>
    <w:rsid w:val="00B97C04"/>
    <w:rsid w:val="00BA0D8B"/>
    <w:rsid w:val="00BA0FFF"/>
    <w:rsid w:val="00BA1226"/>
    <w:rsid w:val="00BA1445"/>
    <w:rsid w:val="00BA15C7"/>
    <w:rsid w:val="00BA1709"/>
    <w:rsid w:val="00BA192F"/>
    <w:rsid w:val="00BA2326"/>
    <w:rsid w:val="00BA44FF"/>
    <w:rsid w:val="00BA468A"/>
    <w:rsid w:val="00BA553C"/>
    <w:rsid w:val="00BA5945"/>
    <w:rsid w:val="00BA5BC1"/>
    <w:rsid w:val="00BA5E55"/>
    <w:rsid w:val="00BA6A7E"/>
    <w:rsid w:val="00BA6C7B"/>
    <w:rsid w:val="00BA6EEB"/>
    <w:rsid w:val="00BA7235"/>
    <w:rsid w:val="00BA7AD2"/>
    <w:rsid w:val="00BB0028"/>
    <w:rsid w:val="00BB0135"/>
    <w:rsid w:val="00BB04CF"/>
    <w:rsid w:val="00BB0A53"/>
    <w:rsid w:val="00BB0F11"/>
    <w:rsid w:val="00BB1968"/>
    <w:rsid w:val="00BB2222"/>
    <w:rsid w:val="00BB48F4"/>
    <w:rsid w:val="00BB524A"/>
    <w:rsid w:val="00BB5D57"/>
    <w:rsid w:val="00BB65B1"/>
    <w:rsid w:val="00BB6B82"/>
    <w:rsid w:val="00BC0650"/>
    <w:rsid w:val="00BC088A"/>
    <w:rsid w:val="00BC1195"/>
    <w:rsid w:val="00BC2B62"/>
    <w:rsid w:val="00BC34CF"/>
    <w:rsid w:val="00BC357B"/>
    <w:rsid w:val="00BC3B3E"/>
    <w:rsid w:val="00BC521A"/>
    <w:rsid w:val="00BC53B4"/>
    <w:rsid w:val="00BC5511"/>
    <w:rsid w:val="00BC6019"/>
    <w:rsid w:val="00BC63E1"/>
    <w:rsid w:val="00BC6CA7"/>
    <w:rsid w:val="00BC71D5"/>
    <w:rsid w:val="00BD02D3"/>
    <w:rsid w:val="00BD0812"/>
    <w:rsid w:val="00BD1F73"/>
    <w:rsid w:val="00BD24AF"/>
    <w:rsid w:val="00BD2976"/>
    <w:rsid w:val="00BD3296"/>
    <w:rsid w:val="00BD50CA"/>
    <w:rsid w:val="00BD52EE"/>
    <w:rsid w:val="00BD60A9"/>
    <w:rsid w:val="00BD6C46"/>
    <w:rsid w:val="00BD6FD2"/>
    <w:rsid w:val="00BD73D7"/>
    <w:rsid w:val="00BD76A0"/>
    <w:rsid w:val="00BD7E6F"/>
    <w:rsid w:val="00BE0300"/>
    <w:rsid w:val="00BE044A"/>
    <w:rsid w:val="00BE0A23"/>
    <w:rsid w:val="00BE1130"/>
    <w:rsid w:val="00BE1C8C"/>
    <w:rsid w:val="00BE2360"/>
    <w:rsid w:val="00BE39BE"/>
    <w:rsid w:val="00BE4353"/>
    <w:rsid w:val="00BE4919"/>
    <w:rsid w:val="00BE4B75"/>
    <w:rsid w:val="00BE509D"/>
    <w:rsid w:val="00BE51AD"/>
    <w:rsid w:val="00BE58BE"/>
    <w:rsid w:val="00BE5946"/>
    <w:rsid w:val="00BE67A1"/>
    <w:rsid w:val="00BE6910"/>
    <w:rsid w:val="00BE6D85"/>
    <w:rsid w:val="00BE76AC"/>
    <w:rsid w:val="00BF131C"/>
    <w:rsid w:val="00BF1B1B"/>
    <w:rsid w:val="00BF1F41"/>
    <w:rsid w:val="00BF31A8"/>
    <w:rsid w:val="00BF45B0"/>
    <w:rsid w:val="00BF57E0"/>
    <w:rsid w:val="00BF6290"/>
    <w:rsid w:val="00BF66A1"/>
    <w:rsid w:val="00BF6914"/>
    <w:rsid w:val="00BF723F"/>
    <w:rsid w:val="00BF735A"/>
    <w:rsid w:val="00BF791A"/>
    <w:rsid w:val="00C00A03"/>
    <w:rsid w:val="00C00AF8"/>
    <w:rsid w:val="00C0116F"/>
    <w:rsid w:val="00C017FF"/>
    <w:rsid w:val="00C02C3C"/>
    <w:rsid w:val="00C0396B"/>
    <w:rsid w:val="00C048CD"/>
    <w:rsid w:val="00C04C29"/>
    <w:rsid w:val="00C05D33"/>
    <w:rsid w:val="00C05F02"/>
    <w:rsid w:val="00C06042"/>
    <w:rsid w:val="00C0664C"/>
    <w:rsid w:val="00C07F64"/>
    <w:rsid w:val="00C1009D"/>
    <w:rsid w:val="00C100E7"/>
    <w:rsid w:val="00C10D1C"/>
    <w:rsid w:val="00C10D3B"/>
    <w:rsid w:val="00C11443"/>
    <w:rsid w:val="00C11572"/>
    <w:rsid w:val="00C11D92"/>
    <w:rsid w:val="00C12680"/>
    <w:rsid w:val="00C12A7E"/>
    <w:rsid w:val="00C1389D"/>
    <w:rsid w:val="00C1391A"/>
    <w:rsid w:val="00C139E3"/>
    <w:rsid w:val="00C151B8"/>
    <w:rsid w:val="00C153E3"/>
    <w:rsid w:val="00C15660"/>
    <w:rsid w:val="00C161B1"/>
    <w:rsid w:val="00C16317"/>
    <w:rsid w:val="00C164B0"/>
    <w:rsid w:val="00C17AFA"/>
    <w:rsid w:val="00C17F74"/>
    <w:rsid w:val="00C200AB"/>
    <w:rsid w:val="00C20476"/>
    <w:rsid w:val="00C20C11"/>
    <w:rsid w:val="00C211C6"/>
    <w:rsid w:val="00C2142C"/>
    <w:rsid w:val="00C222C6"/>
    <w:rsid w:val="00C22416"/>
    <w:rsid w:val="00C228E4"/>
    <w:rsid w:val="00C25662"/>
    <w:rsid w:val="00C256A6"/>
    <w:rsid w:val="00C258AD"/>
    <w:rsid w:val="00C25FA6"/>
    <w:rsid w:val="00C26D30"/>
    <w:rsid w:val="00C27936"/>
    <w:rsid w:val="00C27A9C"/>
    <w:rsid w:val="00C31B87"/>
    <w:rsid w:val="00C3250B"/>
    <w:rsid w:val="00C328C2"/>
    <w:rsid w:val="00C33EDD"/>
    <w:rsid w:val="00C3414A"/>
    <w:rsid w:val="00C34392"/>
    <w:rsid w:val="00C34AC4"/>
    <w:rsid w:val="00C34B0A"/>
    <w:rsid w:val="00C357E6"/>
    <w:rsid w:val="00C3587D"/>
    <w:rsid w:val="00C35880"/>
    <w:rsid w:val="00C359A1"/>
    <w:rsid w:val="00C36B7D"/>
    <w:rsid w:val="00C374E5"/>
    <w:rsid w:val="00C40572"/>
    <w:rsid w:val="00C41009"/>
    <w:rsid w:val="00C41398"/>
    <w:rsid w:val="00C41481"/>
    <w:rsid w:val="00C42555"/>
    <w:rsid w:val="00C4279C"/>
    <w:rsid w:val="00C42E5C"/>
    <w:rsid w:val="00C4396F"/>
    <w:rsid w:val="00C441FF"/>
    <w:rsid w:val="00C442E4"/>
    <w:rsid w:val="00C46BD5"/>
    <w:rsid w:val="00C47005"/>
    <w:rsid w:val="00C47192"/>
    <w:rsid w:val="00C472EF"/>
    <w:rsid w:val="00C47B1D"/>
    <w:rsid w:val="00C47B8C"/>
    <w:rsid w:val="00C500B4"/>
    <w:rsid w:val="00C50A82"/>
    <w:rsid w:val="00C50F09"/>
    <w:rsid w:val="00C51AC9"/>
    <w:rsid w:val="00C51BAB"/>
    <w:rsid w:val="00C51C0F"/>
    <w:rsid w:val="00C52714"/>
    <w:rsid w:val="00C52772"/>
    <w:rsid w:val="00C52C0A"/>
    <w:rsid w:val="00C53261"/>
    <w:rsid w:val="00C54077"/>
    <w:rsid w:val="00C547EC"/>
    <w:rsid w:val="00C54AA6"/>
    <w:rsid w:val="00C55554"/>
    <w:rsid w:val="00C558A7"/>
    <w:rsid w:val="00C55E5B"/>
    <w:rsid w:val="00C56104"/>
    <w:rsid w:val="00C568CB"/>
    <w:rsid w:val="00C56986"/>
    <w:rsid w:val="00C60ABA"/>
    <w:rsid w:val="00C61C9E"/>
    <w:rsid w:val="00C61E9F"/>
    <w:rsid w:val="00C6205E"/>
    <w:rsid w:val="00C623CF"/>
    <w:rsid w:val="00C62891"/>
    <w:rsid w:val="00C62FAC"/>
    <w:rsid w:val="00C6388A"/>
    <w:rsid w:val="00C63BFF"/>
    <w:rsid w:val="00C63D2B"/>
    <w:rsid w:val="00C64058"/>
    <w:rsid w:val="00C6433F"/>
    <w:rsid w:val="00C65C3E"/>
    <w:rsid w:val="00C65F5E"/>
    <w:rsid w:val="00C675AD"/>
    <w:rsid w:val="00C679EB"/>
    <w:rsid w:val="00C67A75"/>
    <w:rsid w:val="00C70392"/>
    <w:rsid w:val="00C7094A"/>
    <w:rsid w:val="00C7241C"/>
    <w:rsid w:val="00C7284F"/>
    <w:rsid w:val="00C72A00"/>
    <w:rsid w:val="00C72EEF"/>
    <w:rsid w:val="00C73775"/>
    <w:rsid w:val="00C73B7E"/>
    <w:rsid w:val="00C73E3C"/>
    <w:rsid w:val="00C74052"/>
    <w:rsid w:val="00C7475B"/>
    <w:rsid w:val="00C76057"/>
    <w:rsid w:val="00C77B19"/>
    <w:rsid w:val="00C77D30"/>
    <w:rsid w:val="00C80A58"/>
    <w:rsid w:val="00C80BD1"/>
    <w:rsid w:val="00C81505"/>
    <w:rsid w:val="00C81AC4"/>
    <w:rsid w:val="00C81F01"/>
    <w:rsid w:val="00C8260F"/>
    <w:rsid w:val="00C82888"/>
    <w:rsid w:val="00C83BBE"/>
    <w:rsid w:val="00C83CB9"/>
    <w:rsid w:val="00C846FC"/>
    <w:rsid w:val="00C85463"/>
    <w:rsid w:val="00C85DF0"/>
    <w:rsid w:val="00C86345"/>
    <w:rsid w:val="00C872F4"/>
    <w:rsid w:val="00C87BDE"/>
    <w:rsid w:val="00C90259"/>
    <w:rsid w:val="00C90755"/>
    <w:rsid w:val="00C9114C"/>
    <w:rsid w:val="00C92A3B"/>
    <w:rsid w:val="00C9418B"/>
    <w:rsid w:val="00C941AD"/>
    <w:rsid w:val="00C94732"/>
    <w:rsid w:val="00C94A54"/>
    <w:rsid w:val="00C94E96"/>
    <w:rsid w:val="00C962E8"/>
    <w:rsid w:val="00C967BC"/>
    <w:rsid w:val="00C97EAB"/>
    <w:rsid w:val="00CA06FE"/>
    <w:rsid w:val="00CA085F"/>
    <w:rsid w:val="00CA1E0D"/>
    <w:rsid w:val="00CA23C0"/>
    <w:rsid w:val="00CA245B"/>
    <w:rsid w:val="00CA2C85"/>
    <w:rsid w:val="00CA2E5C"/>
    <w:rsid w:val="00CA3612"/>
    <w:rsid w:val="00CA3CF4"/>
    <w:rsid w:val="00CA3E1B"/>
    <w:rsid w:val="00CA4521"/>
    <w:rsid w:val="00CA4CC7"/>
    <w:rsid w:val="00CA4DF7"/>
    <w:rsid w:val="00CA5E84"/>
    <w:rsid w:val="00CA60E2"/>
    <w:rsid w:val="00CA6509"/>
    <w:rsid w:val="00CA67AF"/>
    <w:rsid w:val="00CA7162"/>
    <w:rsid w:val="00CA7D94"/>
    <w:rsid w:val="00CB040E"/>
    <w:rsid w:val="00CB11C1"/>
    <w:rsid w:val="00CB1C4F"/>
    <w:rsid w:val="00CB21B7"/>
    <w:rsid w:val="00CB2B1E"/>
    <w:rsid w:val="00CB2E84"/>
    <w:rsid w:val="00CB30C4"/>
    <w:rsid w:val="00CB30FF"/>
    <w:rsid w:val="00CB40CB"/>
    <w:rsid w:val="00CB4ED2"/>
    <w:rsid w:val="00CB4F3E"/>
    <w:rsid w:val="00CB4F50"/>
    <w:rsid w:val="00CB56FE"/>
    <w:rsid w:val="00CB579E"/>
    <w:rsid w:val="00CB5ACC"/>
    <w:rsid w:val="00CB5FFE"/>
    <w:rsid w:val="00CB663E"/>
    <w:rsid w:val="00CB790E"/>
    <w:rsid w:val="00CC1052"/>
    <w:rsid w:val="00CC19AA"/>
    <w:rsid w:val="00CC1FDE"/>
    <w:rsid w:val="00CC1FF9"/>
    <w:rsid w:val="00CC2743"/>
    <w:rsid w:val="00CC2EAF"/>
    <w:rsid w:val="00CC2EB7"/>
    <w:rsid w:val="00CC3208"/>
    <w:rsid w:val="00CC48F3"/>
    <w:rsid w:val="00CC49F1"/>
    <w:rsid w:val="00CC4BD5"/>
    <w:rsid w:val="00CC64E5"/>
    <w:rsid w:val="00CC75E8"/>
    <w:rsid w:val="00CC7CA7"/>
    <w:rsid w:val="00CD0E3B"/>
    <w:rsid w:val="00CD1E0D"/>
    <w:rsid w:val="00CD1EA0"/>
    <w:rsid w:val="00CD2F5C"/>
    <w:rsid w:val="00CD3766"/>
    <w:rsid w:val="00CD4077"/>
    <w:rsid w:val="00CD42A2"/>
    <w:rsid w:val="00CD4A96"/>
    <w:rsid w:val="00CD4C05"/>
    <w:rsid w:val="00CD57E6"/>
    <w:rsid w:val="00CE0F94"/>
    <w:rsid w:val="00CE226C"/>
    <w:rsid w:val="00CE2E0D"/>
    <w:rsid w:val="00CE540C"/>
    <w:rsid w:val="00CE5C66"/>
    <w:rsid w:val="00CE5E8E"/>
    <w:rsid w:val="00CE743D"/>
    <w:rsid w:val="00CE76E1"/>
    <w:rsid w:val="00CE7D9C"/>
    <w:rsid w:val="00CE7E8E"/>
    <w:rsid w:val="00CF0D45"/>
    <w:rsid w:val="00CF0F03"/>
    <w:rsid w:val="00CF1904"/>
    <w:rsid w:val="00CF1B8D"/>
    <w:rsid w:val="00CF1E92"/>
    <w:rsid w:val="00CF24E9"/>
    <w:rsid w:val="00CF287E"/>
    <w:rsid w:val="00CF389D"/>
    <w:rsid w:val="00CF3C9A"/>
    <w:rsid w:val="00CF4053"/>
    <w:rsid w:val="00CF5097"/>
    <w:rsid w:val="00CF5B4F"/>
    <w:rsid w:val="00D022E1"/>
    <w:rsid w:val="00D02468"/>
    <w:rsid w:val="00D02E5B"/>
    <w:rsid w:val="00D0326A"/>
    <w:rsid w:val="00D03487"/>
    <w:rsid w:val="00D03857"/>
    <w:rsid w:val="00D044B5"/>
    <w:rsid w:val="00D045DA"/>
    <w:rsid w:val="00D04EF4"/>
    <w:rsid w:val="00D04FE5"/>
    <w:rsid w:val="00D057E9"/>
    <w:rsid w:val="00D06571"/>
    <w:rsid w:val="00D06C90"/>
    <w:rsid w:val="00D06CB2"/>
    <w:rsid w:val="00D06E6B"/>
    <w:rsid w:val="00D079C2"/>
    <w:rsid w:val="00D10CD7"/>
    <w:rsid w:val="00D113ED"/>
    <w:rsid w:val="00D11424"/>
    <w:rsid w:val="00D11534"/>
    <w:rsid w:val="00D121BB"/>
    <w:rsid w:val="00D12836"/>
    <w:rsid w:val="00D128D6"/>
    <w:rsid w:val="00D12DFB"/>
    <w:rsid w:val="00D12FC2"/>
    <w:rsid w:val="00D13196"/>
    <w:rsid w:val="00D13BF0"/>
    <w:rsid w:val="00D13CEF"/>
    <w:rsid w:val="00D13F7F"/>
    <w:rsid w:val="00D16342"/>
    <w:rsid w:val="00D1668C"/>
    <w:rsid w:val="00D2054A"/>
    <w:rsid w:val="00D212F3"/>
    <w:rsid w:val="00D2158C"/>
    <w:rsid w:val="00D21A51"/>
    <w:rsid w:val="00D21C51"/>
    <w:rsid w:val="00D22346"/>
    <w:rsid w:val="00D2248F"/>
    <w:rsid w:val="00D2283C"/>
    <w:rsid w:val="00D24113"/>
    <w:rsid w:val="00D247C4"/>
    <w:rsid w:val="00D24AB2"/>
    <w:rsid w:val="00D25077"/>
    <w:rsid w:val="00D256CE"/>
    <w:rsid w:val="00D25A03"/>
    <w:rsid w:val="00D2726F"/>
    <w:rsid w:val="00D3070D"/>
    <w:rsid w:val="00D317E6"/>
    <w:rsid w:val="00D34E42"/>
    <w:rsid w:val="00D35EAC"/>
    <w:rsid w:val="00D369A1"/>
    <w:rsid w:val="00D378F1"/>
    <w:rsid w:val="00D37D74"/>
    <w:rsid w:val="00D40061"/>
    <w:rsid w:val="00D40D0B"/>
    <w:rsid w:val="00D4211A"/>
    <w:rsid w:val="00D427D7"/>
    <w:rsid w:val="00D4290B"/>
    <w:rsid w:val="00D43279"/>
    <w:rsid w:val="00D435B5"/>
    <w:rsid w:val="00D435E9"/>
    <w:rsid w:val="00D43897"/>
    <w:rsid w:val="00D44AE6"/>
    <w:rsid w:val="00D44BED"/>
    <w:rsid w:val="00D45234"/>
    <w:rsid w:val="00D45372"/>
    <w:rsid w:val="00D459E3"/>
    <w:rsid w:val="00D45DA3"/>
    <w:rsid w:val="00D45F84"/>
    <w:rsid w:val="00D47ADE"/>
    <w:rsid w:val="00D50FEB"/>
    <w:rsid w:val="00D511F5"/>
    <w:rsid w:val="00D5132B"/>
    <w:rsid w:val="00D51394"/>
    <w:rsid w:val="00D513F3"/>
    <w:rsid w:val="00D51573"/>
    <w:rsid w:val="00D51944"/>
    <w:rsid w:val="00D523F0"/>
    <w:rsid w:val="00D5279B"/>
    <w:rsid w:val="00D53448"/>
    <w:rsid w:val="00D5367E"/>
    <w:rsid w:val="00D54CF1"/>
    <w:rsid w:val="00D54DF8"/>
    <w:rsid w:val="00D54EFF"/>
    <w:rsid w:val="00D55194"/>
    <w:rsid w:val="00D55392"/>
    <w:rsid w:val="00D55B5D"/>
    <w:rsid w:val="00D56598"/>
    <w:rsid w:val="00D57DAF"/>
    <w:rsid w:val="00D57F0D"/>
    <w:rsid w:val="00D6002C"/>
    <w:rsid w:val="00D60617"/>
    <w:rsid w:val="00D60885"/>
    <w:rsid w:val="00D60B42"/>
    <w:rsid w:val="00D61475"/>
    <w:rsid w:val="00D62377"/>
    <w:rsid w:val="00D62420"/>
    <w:rsid w:val="00D626B5"/>
    <w:rsid w:val="00D62D94"/>
    <w:rsid w:val="00D643F1"/>
    <w:rsid w:val="00D64463"/>
    <w:rsid w:val="00D646C3"/>
    <w:rsid w:val="00D64DDF"/>
    <w:rsid w:val="00D65D62"/>
    <w:rsid w:val="00D65EBE"/>
    <w:rsid w:val="00D6775B"/>
    <w:rsid w:val="00D67B63"/>
    <w:rsid w:val="00D67C5F"/>
    <w:rsid w:val="00D67E1E"/>
    <w:rsid w:val="00D70893"/>
    <w:rsid w:val="00D709B6"/>
    <w:rsid w:val="00D70EE4"/>
    <w:rsid w:val="00D72422"/>
    <w:rsid w:val="00D72935"/>
    <w:rsid w:val="00D72ACB"/>
    <w:rsid w:val="00D73403"/>
    <w:rsid w:val="00D73695"/>
    <w:rsid w:val="00D73F05"/>
    <w:rsid w:val="00D74C56"/>
    <w:rsid w:val="00D76197"/>
    <w:rsid w:val="00D761A5"/>
    <w:rsid w:val="00D76390"/>
    <w:rsid w:val="00D7776C"/>
    <w:rsid w:val="00D809A1"/>
    <w:rsid w:val="00D80C30"/>
    <w:rsid w:val="00D80E25"/>
    <w:rsid w:val="00D81E0C"/>
    <w:rsid w:val="00D81EB8"/>
    <w:rsid w:val="00D8286A"/>
    <w:rsid w:val="00D83F25"/>
    <w:rsid w:val="00D84A89"/>
    <w:rsid w:val="00D8526F"/>
    <w:rsid w:val="00D85507"/>
    <w:rsid w:val="00D86483"/>
    <w:rsid w:val="00D86E26"/>
    <w:rsid w:val="00D91CE9"/>
    <w:rsid w:val="00D92913"/>
    <w:rsid w:val="00D92C9D"/>
    <w:rsid w:val="00D931CF"/>
    <w:rsid w:val="00D93706"/>
    <w:rsid w:val="00D93F08"/>
    <w:rsid w:val="00D9458A"/>
    <w:rsid w:val="00D9611E"/>
    <w:rsid w:val="00D962B1"/>
    <w:rsid w:val="00D96578"/>
    <w:rsid w:val="00D97682"/>
    <w:rsid w:val="00D97941"/>
    <w:rsid w:val="00DA041D"/>
    <w:rsid w:val="00DA0A52"/>
    <w:rsid w:val="00DA0DD9"/>
    <w:rsid w:val="00DA1161"/>
    <w:rsid w:val="00DA546E"/>
    <w:rsid w:val="00DA5767"/>
    <w:rsid w:val="00DA5B00"/>
    <w:rsid w:val="00DA63EA"/>
    <w:rsid w:val="00DA6693"/>
    <w:rsid w:val="00DA682D"/>
    <w:rsid w:val="00DA7A6F"/>
    <w:rsid w:val="00DB0780"/>
    <w:rsid w:val="00DB1E10"/>
    <w:rsid w:val="00DB2224"/>
    <w:rsid w:val="00DB2F36"/>
    <w:rsid w:val="00DB3983"/>
    <w:rsid w:val="00DB44E2"/>
    <w:rsid w:val="00DB53D5"/>
    <w:rsid w:val="00DB5983"/>
    <w:rsid w:val="00DB60AC"/>
    <w:rsid w:val="00DB63B8"/>
    <w:rsid w:val="00DB6590"/>
    <w:rsid w:val="00DB75A9"/>
    <w:rsid w:val="00DB76CB"/>
    <w:rsid w:val="00DB7AE2"/>
    <w:rsid w:val="00DC0B09"/>
    <w:rsid w:val="00DC0D06"/>
    <w:rsid w:val="00DC0EB4"/>
    <w:rsid w:val="00DC2F06"/>
    <w:rsid w:val="00DC38C3"/>
    <w:rsid w:val="00DC40B7"/>
    <w:rsid w:val="00DC4420"/>
    <w:rsid w:val="00DC475F"/>
    <w:rsid w:val="00DC4A3B"/>
    <w:rsid w:val="00DC5448"/>
    <w:rsid w:val="00DC57BE"/>
    <w:rsid w:val="00DC5A27"/>
    <w:rsid w:val="00DC6009"/>
    <w:rsid w:val="00DC6995"/>
    <w:rsid w:val="00DC7786"/>
    <w:rsid w:val="00DC7989"/>
    <w:rsid w:val="00DD0073"/>
    <w:rsid w:val="00DD00CB"/>
    <w:rsid w:val="00DD0631"/>
    <w:rsid w:val="00DD1B36"/>
    <w:rsid w:val="00DD2068"/>
    <w:rsid w:val="00DD20B6"/>
    <w:rsid w:val="00DD242F"/>
    <w:rsid w:val="00DD251F"/>
    <w:rsid w:val="00DD2683"/>
    <w:rsid w:val="00DD26BD"/>
    <w:rsid w:val="00DD279E"/>
    <w:rsid w:val="00DD2C37"/>
    <w:rsid w:val="00DD3C75"/>
    <w:rsid w:val="00DD45F5"/>
    <w:rsid w:val="00DD512A"/>
    <w:rsid w:val="00DD5526"/>
    <w:rsid w:val="00DD5B81"/>
    <w:rsid w:val="00DD65C9"/>
    <w:rsid w:val="00DD6667"/>
    <w:rsid w:val="00DD684D"/>
    <w:rsid w:val="00DE03CD"/>
    <w:rsid w:val="00DE0E7F"/>
    <w:rsid w:val="00DE19FB"/>
    <w:rsid w:val="00DE1B95"/>
    <w:rsid w:val="00DE1F37"/>
    <w:rsid w:val="00DE1FCF"/>
    <w:rsid w:val="00DE26BD"/>
    <w:rsid w:val="00DE2E0B"/>
    <w:rsid w:val="00DE3048"/>
    <w:rsid w:val="00DE3630"/>
    <w:rsid w:val="00DE3B6A"/>
    <w:rsid w:val="00DE3BF7"/>
    <w:rsid w:val="00DE483E"/>
    <w:rsid w:val="00DE49A8"/>
    <w:rsid w:val="00DE5A24"/>
    <w:rsid w:val="00DE6541"/>
    <w:rsid w:val="00DE79DA"/>
    <w:rsid w:val="00DF0343"/>
    <w:rsid w:val="00DF0406"/>
    <w:rsid w:val="00DF0794"/>
    <w:rsid w:val="00DF0EDA"/>
    <w:rsid w:val="00DF1410"/>
    <w:rsid w:val="00DF1E46"/>
    <w:rsid w:val="00DF2E89"/>
    <w:rsid w:val="00DF393F"/>
    <w:rsid w:val="00DF472D"/>
    <w:rsid w:val="00DF473A"/>
    <w:rsid w:val="00DF4DEC"/>
    <w:rsid w:val="00DF5012"/>
    <w:rsid w:val="00DF5467"/>
    <w:rsid w:val="00DF6B36"/>
    <w:rsid w:val="00E000FD"/>
    <w:rsid w:val="00E00BE5"/>
    <w:rsid w:val="00E00C79"/>
    <w:rsid w:val="00E00F00"/>
    <w:rsid w:val="00E01508"/>
    <w:rsid w:val="00E01B7E"/>
    <w:rsid w:val="00E020F5"/>
    <w:rsid w:val="00E02A50"/>
    <w:rsid w:val="00E031CD"/>
    <w:rsid w:val="00E033E7"/>
    <w:rsid w:val="00E03BF9"/>
    <w:rsid w:val="00E041D1"/>
    <w:rsid w:val="00E041E5"/>
    <w:rsid w:val="00E05279"/>
    <w:rsid w:val="00E05BDC"/>
    <w:rsid w:val="00E10250"/>
    <w:rsid w:val="00E104B3"/>
    <w:rsid w:val="00E10894"/>
    <w:rsid w:val="00E111B0"/>
    <w:rsid w:val="00E11388"/>
    <w:rsid w:val="00E11CCB"/>
    <w:rsid w:val="00E11D71"/>
    <w:rsid w:val="00E11FF9"/>
    <w:rsid w:val="00E132B3"/>
    <w:rsid w:val="00E13962"/>
    <w:rsid w:val="00E13D7E"/>
    <w:rsid w:val="00E13F6C"/>
    <w:rsid w:val="00E140EA"/>
    <w:rsid w:val="00E141CE"/>
    <w:rsid w:val="00E14702"/>
    <w:rsid w:val="00E14F9B"/>
    <w:rsid w:val="00E15EF9"/>
    <w:rsid w:val="00E16446"/>
    <w:rsid w:val="00E1749A"/>
    <w:rsid w:val="00E209C1"/>
    <w:rsid w:val="00E21206"/>
    <w:rsid w:val="00E21DDE"/>
    <w:rsid w:val="00E22506"/>
    <w:rsid w:val="00E227CF"/>
    <w:rsid w:val="00E2322F"/>
    <w:rsid w:val="00E23B6B"/>
    <w:rsid w:val="00E24B8F"/>
    <w:rsid w:val="00E24F95"/>
    <w:rsid w:val="00E24FAE"/>
    <w:rsid w:val="00E25B80"/>
    <w:rsid w:val="00E26166"/>
    <w:rsid w:val="00E262E1"/>
    <w:rsid w:val="00E26ABC"/>
    <w:rsid w:val="00E26BFE"/>
    <w:rsid w:val="00E276B1"/>
    <w:rsid w:val="00E27BF0"/>
    <w:rsid w:val="00E3019D"/>
    <w:rsid w:val="00E316FC"/>
    <w:rsid w:val="00E31AB9"/>
    <w:rsid w:val="00E31FA1"/>
    <w:rsid w:val="00E3259E"/>
    <w:rsid w:val="00E344EA"/>
    <w:rsid w:val="00E34A1C"/>
    <w:rsid w:val="00E351B9"/>
    <w:rsid w:val="00E3526C"/>
    <w:rsid w:val="00E35355"/>
    <w:rsid w:val="00E35505"/>
    <w:rsid w:val="00E35FD5"/>
    <w:rsid w:val="00E4040D"/>
    <w:rsid w:val="00E42940"/>
    <w:rsid w:val="00E43242"/>
    <w:rsid w:val="00E437D9"/>
    <w:rsid w:val="00E43AB5"/>
    <w:rsid w:val="00E43E94"/>
    <w:rsid w:val="00E44772"/>
    <w:rsid w:val="00E457EB"/>
    <w:rsid w:val="00E464A6"/>
    <w:rsid w:val="00E46BE1"/>
    <w:rsid w:val="00E47031"/>
    <w:rsid w:val="00E47854"/>
    <w:rsid w:val="00E51141"/>
    <w:rsid w:val="00E51704"/>
    <w:rsid w:val="00E51B30"/>
    <w:rsid w:val="00E53293"/>
    <w:rsid w:val="00E54D42"/>
    <w:rsid w:val="00E55C0E"/>
    <w:rsid w:val="00E561EB"/>
    <w:rsid w:val="00E56F2A"/>
    <w:rsid w:val="00E57D98"/>
    <w:rsid w:val="00E602AA"/>
    <w:rsid w:val="00E606E7"/>
    <w:rsid w:val="00E61471"/>
    <w:rsid w:val="00E61D19"/>
    <w:rsid w:val="00E625CF"/>
    <w:rsid w:val="00E62F88"/>
    <w:rsid w:val="00E63CF8"/>
    <w:rsid w:val="00E649B4"/>
    <w:rsid w:val="00E65336"/>
    <w:rsid w:val="00E65A2E"/>
    <w:rsid w:val="00E7053A"/>
    <w:rsid w:val="00E71D14"/>
    <w:rsid w:val="00E72A84"/>
    <w:rsid w:val="00E730EB"/>
    <w:rsid w:val="00E73672"/>
    <w:rsid w:val="00E73B04"/>
    <w:rsid w:val="00E755F4"/>
    <w:rsid w:val="00E7571C"/>
    <w:rsid w:val="00E75EE6"/>
    <w:rsid w:val="00E76159"/>
    <w:rsid w:val="00E76250"/>
    <w:rsid w:val="00E76CE0"/>
    <w:rsid w:val="00E77D41"/>
    <w:rsid w:val="00E80326"/>
    <w:rsid w:val="00E80FEA"/>
    <w:rsid w:val="00E82ECF"/>
    <w:rsid w:val="00E83436"/>
    <w:rsid w:val="00E83612"/>
    <w:rsid w:val="00E84CEF"/>
    <w:rsid w:val="00E85066"/>
    <w:rsid w:val="00E85868"/>
    <w:rsid w:val="00E85AE3"/>
    <w:rsid w:val="00E85BF6"/>
    <w:rsid w:val="00E85C67"/>
    <w:rsid w:val="00E86A39"/>
    <w:rsid w:val="00E8760B"/>
    <w:rsid w:val="00E87808"/>
    <w:rsid w:val="00E903A9"/>
    <w:rsid w:val="00E91B88"/>
    <w:rsid w:val="00E92303"/>
    <w:rsid w:val="00E93697"/>
    <w:rsid w:val="00E94B50"/>
    <w:rsid w:val="00E94BB3"/>
    <w:rsid w:val="00E96164"/>
    <w:rsid w:val="00E96809"/>
    <w:rsid w:val="00E96D42"/>
    <w:rsid w:val="00E96E58"/>
    <w:rsid w:val="00E96E8D"/>
    <w:rsid w:val="00EA07A9"/>
    <w:rsid w:val="00EA2ACB"/>
    <w:rsid w:val="00EA2D40"/>
    <w:rsid w:val="00EA442F"/>
    <w:rsid w:val="00EA55D0"/>
    <w:rsid w:val="00EA6130"/>
    <w:rsid w:val="00EA65F9"/>
    <w:rsid w:val="00EA6A0B"/>
    <w:rsid w:val="00EA7329"/>
    <w:rsid w:val="00EA773F"/>
    <w:rsid w:val="00EA7E43"/>
    <w:rsid w:val="00EB03FA"/>
    <w:rsid w:val="00EB06A7"/>
    <w:rsid w:val="00EB08DB"/>
    <w:rsid w:val="00EB1B30"/>
    <w:rsid w:val="00EB2C7F"/>
    <w:rsid w:val="00EB2EF1"/>
    <w:rsid w:val="00EB43F0"/>
    <w:rsid w:val="00EB4AEB"/>
    <w:rsid w:val="00EB4B8E"/>
    <w:rsid w:val="00EB4F4B"/>
    <w:rsid w:val="00EB5005"/>
    <w:rsid w:val="00EB52ED"/>
    <w:rsid w:val="00EB5DE9"/>
    <w:rsid w:val="00EB632D"/>
    <w:rsid w:val="00EB6C0E"/>
    <w:rsid w:val="00EB6E7D"/>
    <w:rsid w:val="00EB73A4"/>
    <w:rsid w:val="00EC0598"/>
    <w:rsid w:val="00EC10A9"/>
    <w:rsid w:val="00EC2234"/>
    <w:rsid w:val="00EC29D5"/>
    <w:rsid w:val="00EC3D17"/>
    <w:rsid w:val="00EC3FC9"/>
    <w:rsid w:val="00EC42D8"/>
    <w:rsid w:val="00EC49AA"/>
    <w:rsid w:val="00EC5099"/>
    <w:rsid w:val="00EC5444"/>
    <w:rsid w:val="00EC5581"/>
    <w:rsid w:val="00EC6021"/>
    <w:rsid w:val="00EC631B"/>
    <w:rsid w:val="00EC68E4"/>
    <w:rsid w:val="00EC6F16"/>
    <w:rsid w:val="00ED0B1A"/>
    <w:rsid w:val="00ED19AE"/>
    <w:rsid w:val="00ED1D78"/>
    <w:rsid w:val="00ED2647"/>
    <w:rsid w:val="00ED2A71"/>
    <w:rsid w:val="00ED2D8A"/>
    <w:rsid w:val="00ED3A7A"/>
    <w:rsid w:val="00ED44A3"/>
    <w:rsid w:val="00ED4862"/>
    <w:rsid w:val="00ED4BEA"/>
    <w:rsid w:val="00ED6E7D"/>
    <w:rsid w:val="00ED7E54"/>
    <w:rsid w:val="00EE0527"/>
    <w:rsid w:val="00EE061E"/>
    <w:rsid w:val="00EE1040"/>
    <w:rsid w:val="00EE14BA"/>
    <w:rsid w:val="00EE2E18"/>
    <w:rsid w:val="00EE4034"/>
    <w:rsid w:val="00EE472F"/>
    <w:rsid w:val="00EE48B7"/>
    <w:rsid w:val="00EE4AB7"/>
    <w:rsid w:val="00EE4E06"/>
    <w:rsid w:val="00EE521D"/>
    <w:rsid w:val="00EE52A5"/>
    <w:rsid w:val="00EE60C8"/>
    <w:rsid w:val="00EE642D"/>
    <w:rsid w:val="00EF017C"/>
    <w:rsid w:val="00EF0C54"/>
    <w:rsid w:val="00EF1FF9"/>
    <w:rsid w:val="00EF261A"/>
    <w:rsid w:val="00EF263B"/>
    <w:rsid w:val="00EF2ADA"/>
    <w:rsid w:val="00EF2B6B"/>
    <w:rsid w:val="00EF2E4F"/>
    <w:rsid w:val="00EF31C6"/>
    <w:rsid w:val="00EF322C"/>
    <w:rsid w:val="00EF3DE8"/>
    <w:rsid w:val="00EF5012"/>
    <w:rsid w:val="00EF50CD"/>
    <w:rsid w:val="00EF5894"/>
    <w:rsid w:val="00EF5D3F"/>
    <w:rsid w:val="00EF63EC"/>
    <w:rsid w:val="00EF676A"/>
    <w:rsid w:val="00EF696F"/>
    <w:rsid w:val="00EF73A8"/>
    <w:rsid w:val="00EF74D5"/>
    <w:rsid w:val="00EF7F8C"/>
    <w:rsid w:val="00F0008D"/>
    <w:rsid w:val="00F003B0"/>
    <w:rsid w:val="00F01238"/>
    <w:rsid w:val="00F02643"/>
    <w:rsid w:val="00F028EC"/>
    <w:rsid w:val="00F02FE4"/>
    <w:rsid w:val="00F03617"/>
    <w:rsid w:val="00F04AC0"/>
    <w:rsid w:val="00F0555E"/>
    <w:rsid w:val="00F06B93"/>
    <w:rsid w:val="00F07310"/>
    <w:rsid w:val="00F101A7"/>
    <w:rsid w:val="00F10B45"/>
    <w:rsid w:val="00F10E40"/>
    <w:rsid w:val="00F10FC6"/>
    <w:rsid w:val="00F111A3"/>
    <w:rsid w:val="00F1216D"/>
    <w:rsid w:val="00F12F92"/>
    <w:rsid w:val="00F130E0"/>
    <w:rsid w:val="00F134CD"/>
    <w:rsid w:val="00F1422B"/>
    <w:rsid w:val="00F147BB"/>
    <w:rsid w:val="00F147DC"/>
    <w:rsid w:val="00F14E02"/>
    <w:rsid w:val="00F15238"/>
    <w:rsid w:val="00F15A0E"/>
    <w:rsid w:val="00F1607B"/>
    <w:rsid w:val="00F1653A"/>
    <w:rsid w:val="00F16C06"/>
    <w:rsid w:val="00F16D9A"/>
    <w:rsid w:val="00F171C2"/>
    <w:rsid w:val="00F1751E"/>
    <w:rsid w:val="00F17940"/>
    <w:rsid w:val="00F17A20"/>
    <w:rsid w:val="00F2036D"/>
    <w:rsid w:val="00F2055F"/>
    <w:rsid w:val="00F20FCF"/>
    <w:rsid w:val="00F23595"/>
    <w:rsid w:val="00F23962"/>
    <w:rsid w:val="00F24DD9"/>
    <w:rsid w:val="00F24ECC"/>
    <w:rsid w:val="00F25366"/>
    <w:rsid w:val="00F25466"/>
    <w:rsid w:val="00F258C5"/>
    <w:rsid w:val="00F25AF4"/>
    <w:rsid w:val="00F25B9F"/>
    <w:rsid w:val="00F26766"/>
    <w:rsid w:val="00F274F7"/>
    <w:rsid w:val="00F2778A"/>
    <w:rsid w:val="00F27D2D"/>
    <w:rsid w:val="00F27F6A"/>
    <w:rsid w:val="00F30FDF"/>
    <w:rsid w:val="00F3172B"/>
    <w:rsid w:val="00F31979"/>
    <w:rsid w:val="00F33A31"/>
    <w:rsid w:val="00F33DE2"/>
    <w:rsid w:val="00F33E81"/>
    <w:rsid w:val="00F33F50"/>
    <w:rsid w:val="00F341FA"/>
    <w:rsid w:val="00F345D5"/>
    <w:rsid w:val="00F34BDC"/>
    <w:rsid w:val="00F36E70"/>
    <w:rsid w:val="00F37105"/>
    <w:rsid w:val="00F3740E"/>
    <w:rsid w:val="00F4023C"/>
    <w:rsid w:val="00F403D4"/>
    <w:rsid w:val="00F40A4D"/>
    <w:rsid w:val="00F42712"/>
    <w:rsid w:val="00F4292D"/>
    <w:rsid w:val="00F42A07"/>
    <w:rsid w:val="00F435B2"/>
    <w:rsid w:val="00F43CB7"/>
    <w:rsid w:val="00F4404D"/>
    <w:rsid w:val="00F44B14"/>
    <w:rsid w:val="00F44F38"/>
    <w:rsid w:val="00F454B0"/>
    <w:rsid w:val="00F46351"/>
    <w:rsid w:val="00F46377"/>
    <w:rsid w:val="00F470F7"/>
    <w:rsid w:val="00F47B6C"/>
    <w:rsid w:val="00F50922"/>
    <w:rsid w:val="00F50D8C"/>
    <w:rsid w:val="00F50D99"/>
    <w:rsid w:val="00F50EB5"/>
    <w:rsid w:val="00F515D6"/>
    <w:rsid w:val="00F5192B"/>
    <w:rsid w:val="00F52AE5"/>
    <w:rsid w:val="00F52BBF"/>
    <w:rsid w:val="00F52F7D"/>
    <w:rsid w:val="00F53329"/>
    <w:rsid w:val="00F540B6"/>
    <w:rsid w:val="00F544B9"/>
    <w:rsid w:val="00F54C26"/>
    <w:rsid w:val="00F5515A"/>
    <w:rsid w:val="00F55C8E"/>
    <w:rsid w:val="00F55FEA"/>
    <w:rsid w:val="00F56148"/>
    <w:rsid w:val="00F60015"/>
    <w:rsid w:val="00F601A9"/>
    <w:rsid w:val="00F60FF7"/>
    <w:rsid w:val="00F61208"/>
    <w:rsid w:val="00F61292"/>
    <w:rsid w:val="00F61980"/>
    <w:rsid w:val="00F62748"/>
    <w:rsid w:val="00F63157"/>
    <w:rsid w:val="00F63A09"/>
    <w:rsid w:val="00F64124"/>
    <w:rsid w:val="00F658AE"/>
    <w:rsid w:val="00F65973"/>
    <w:rsid w:val="00F66B43"/>
    <w:rsid w:val="00F66E80"/>
    <w:rsid w:val="00F66FB6"/>
    <w:rsid w:val="00F67699"/>
    <w:rsid w:val="00F67730"/>
    <w:rsid w:val="00F67DBD"/>
    <w:rsid w:val="00F67F9F"/>
    <w:rsid w:val="00F700AB"/>
    <w:rsid w:val="00F709AD"/>
    <w:rsid w:val="00F70F32"/>
    <w:rsid w:val="00F7530A"/>
    <w:rsid w:val="00F7550A"/>
    <w:rsid w:val="00F75BBB"/>
    <w:rsid w:val="00F772E3"/>
    <w:rsid w:val="00F80CB6"/>
    <w:rsid w:val="00F817FA"/>
    <w:rsid w:val="00F81E34"/>
    <w:rsid w:val="00F820E0"/>
    <w:rsid w:val="00F82408"/>
    <w:rsid w:val="00F824D1"/>
    <w:rsid w:val="00F8283E"/>
    <w:rsid w:val="00F82CA7"/>
    <w:rsid w:val="00F82D5A"/>
    <w:rsid w:val="00F83313"/>
    <w:rsid w:val="00F8331D"/>
    <w:rsid w:val="00F844BD"/>
    <w:rsid w:val="00F84A8B"/>
    <w:rsid w:val="00F84E23"/>
    <w:rsid w:val="00F85154"/>
    <w:rsid w:val="00F8541B"/>
    <w:rsid w:val="00F860A7"/>
    <w:rsid w:val="00F86600"/>
    <w:rsid w:val="00F86B7B"/>
    <w:rsid w:val="00F8760B"/>
    <w:rsid w:val="00F87907"/>
    <w:rsid w:val="00F90352"/>
    <w:rsid w:val="00F90EDF"/>
    <w:rsid w:val="00F9352E"/>
    <w:rsid w:val="00F93F4C"/>
    <w:rsid w:val="00F94DBF"/>
    <w:rsid w:val="00F95083"/>
    <w:rsid w:val="00F961CC"/>
    <w:rsid w:val="00F96B50"/>
    <w:rsid w:val="00F97142"/>
    <w:rsid w:val="00F974D0"/>
    <w:rsid w:val="00FA00EA"/>
    <w:rsid w:val="00FA0A09"/>
    <w:rsid w:val="00FA0CB9"/>
    <w:rsid w:val="00FA1E75"/>
    <w:rsid w:val="00FA3230"/>
    <w:rsid w:val="00FA421F"/>
    <w:rsid w:val="00FA45C9"/>
    <w:rsid w:val="00FA4839"/>
    <w:rsid w:val="00FA4E72"/>
    <w:rsid w:val="00FB0200"/>
    <w:rsid w:val="00FB21C7"/>
    <w:rsid w:val="00FB23AD"/>
    <w:rsid w:val="00FB2D86"/>
    <w:rsid w:val="00FB3081"/>
    <w:rsid w:val="00FB4EE2"/>
    <w:rsid w:val="00FB6596"/>
    <w:rsid w:val="00FB659E"/>
    <w:rsid w:val="00FB665C"/>
    <w:rsid w:val="00FB6A18"/>
    <w:rsid w:val="00FB6CCF"/>
    <w:rsid w:val="00FB6F31"/>
    <w:rsid w:val="00FB7CE0"/>
    <w:rsid w:val="00FB7F4B"/>
    <w:rsid w:val="00FC1422"/>
    <w:rsid w:val="00FC14DA"/>
    <w:rsid w:val="00FC1BC2"/>
    <w:rsid w:val="00FC1CCE"/>
    <w:rsid w:val="00FC2794"/>
    <w:rsid w:val="00FC29F0"/>
    <w:rsid w:val="00FC3150"/>
    <w:rsid w:val="00FC4349"/>
    <w:rsid w:val="00FC4ADC"/>
    <w:rsid w:val="00FC4EF8"/>
    <w:rsid w:val="00FC6527"/>
    <w:rsid w:val="00FC7392"/>
    <w:rsid w:val="00FD048D"/>
    <w:rsid w:val="00FD0DD6"/>
    <w:rsid w:val="00FD1D82"/>
    <w:rsid w:val="00FD1FAC"/>
    <w:rsid w:val="00FD296B"/>
    <w:rsid w:val="00FD29D2"/>
    <w:rsid w:val="00FD3D0D"/>
    <w:rsid w:val="00FD55B1"/>
    <w:rsid w:val="00FD6B04"/>
    <w:rsid w:val="00FD74D5"/>
    <w:rsid w:val="00FD766D"/>
    <w:rsid w:val="00FE0947"/>
    <w:rsid w:val="00FE1184"/>
    <w:rsid w:val="00FE1DC8"/>
    <w:rsid w:val="00FE2840"/>
    <w:rsid w:val="00FE3077"/>
    <w:rsid w:val="00FE3858"/>
    <w:rsid w:val="00FE3AE0"/>
    <w:rsid w:val="00FE3DAD"/>
    <w:rsid w:val="00FE43D3"/>
    <w:rsid w:val="00FE5F90"/>
    <w:rsid w:val="00FE6DD5"/>
    <w:rsid w:val="00FF06C4"/>
    <w:rsid w:val="00FF17B7"/>
    <w:rsid w:val="00FF1EB4"/>
    <w:rsid w:val="00FF25B7"/>
    <w:rsid w:val="00FF307C"/>
    <w:rsid w:val="00FF32A2"/>
    <w:rsid w:val="00FF4D5C"/>
    <w:rsid w:val="00FF531B"/>
    <w:rsid w:val="00FF5E58"/>
    <w:rsid w:val="00FF6054"/>
    <w:rsid w:val="00FF60FF"/>
    <w:rsid w:val="00FF629B"/>
    <w:rsid w:val="00FF6AD1"/>
    <w:rsid w:val="00FF6EE1"/>
    <w:rsid w:val="02857F3B"/>
    <w:rsid w:val="02E76B51"/>
    <w:rsid w:val="058440DD"/>
    <w:rsid w:val="079B4D62"/>
    <w:rsid w:val="09803ED0"/>
    <w:rsid w:val="0A924546"/>
    <w:rsid w:val="0ADB7DBB"/>
    <w:rsid w:val="0B8E301F"/>
    <w:rsid w:val="0C9920F0"/>
    <w:rsid w:val="0CD44466"/>
    <w:rsid w:val="0DAA199F"/>
    <w:rsid w:val="0F4838D2"/>
    <w:rsid w:val="0F4E5C61"/>
    <w:rsid w:val="0FBE38A7"/>
    <w:rsid w:val="110034B4"/>
    <w:rsid w:val="127300D7"/>
    <w:rsid w:val="1360648C"/>
    <w:rsid w:val="139F4382"/>
    <w:rsid w:val="13CB6B66"/>
    <w:rsid w:val="13E657B7"/>
    <w:rsid w:val="14A82170"/>
    <w:rsid w:val="15FE1834"/>
    <w:rsid w:val="17182660"/>
    <w:rsid w:val="1905081B"/>
    <w:rsid w:val="1B4A6025"/>
    <w:rsid w:val="1B9558D3"/>
    <w:rsid w:val="1C8E6F43"/>
    <w:rsid w:val="1CBFC878"/>
    <w:rsid w:val="1DFA096E"/>
    <w:rsid w:val="1E4E0598"/>
    <w:rsid w:val="1EA1074C"/>
    <w:rsid w:val="1F3A6759"/>
    <w:rsid w:val="1FD661ED"/>
    <w:rsid w:val="1FEFB9E7"/>
    <w:rsid w:val="215B4196"/>
    <w:rsid w:val="221D6484"/>
    <w:rsid w:val="223E5028"/>
    <w:rsid w:val="226F01F6"/>
    <w:rsid w:val="2412563B"/>
    <w:rsid w:val="24185EC2"/>
    <w:rsid w:val="24E2523E"/>
    <w:rsid w:val="26072500"/>
    <w:rsid w:val="263B3B9B"/>
    <w:rsid w:val="26A05180"/>
    <w:rsid w:val="28CA0C27"/>
    <w:rsid w:val="29A44EE7"/>
    <w:rsid w:val="2D1E0AF2"/>
    <w:rsid w:val="2EFC1307"/>
    <w:rsid w:val="2F347094"/>
    <w:rsid w:val="30B41BAD"/>
    <w:rsid w:val="30E208C5"/>
    <w:rsid w:val="31533439"/>
    <w:rsid w:val="31C0661C"/>
    <w:rsid w:val="31EC5D6C"/>
    <w:rsid w:val="327922BA"/>
    <w:rsid w:val="32794059"/>
    <w:rsid w:val="35200A4A"/>
    <w:rsid w:val="372E72D0"/>
    <w:rsid w:val="376161AB"/>
    <w:rsid w:val="37EC3AB6"/>
    <w:rsid w:val="381A7C85"/>
    <w:rsid w:val="390D17F2"/>
    <w:rsid w:val="39111617"/>
    <w:rsid w:val="3A004098"/>
    <w:rsid w:val="3B7865ED"/>
    <w:rsid w:val="3BFFBE2D"/>
    <w:rsid w:val="3CAF061D"/>
    <w:rsid w:val="3D7CCE6B"/>
    <w:rsid w:val="3DFD1D97"/>
    <w:rsid w:val="3E3913D7"/>
    <w:rsid w:val="3EB9527E"/>
    <w:rsid w:val="3F9F3D14"/>
    <w:rsid w:val="3FF6EB6F"/>
    <w:rsid w:val="3FFEB8C2"/>
    <w:rsid w:val="40C15CE1"/>
    <w:rsid w:val="420D18E8"/>
    <w:rsid w:val="43EA61F2"/>
    <w:rsid w:val="46464BC9"/>
    <w:rsid w:val="47C5EA06"/>
    <w:rsid w:val="47F6047B"/>
    <w:rsid w:val="48420303"/>
    <w:rsid w:val="48541E50"/>
    <w:rsid w:val="4925058E"/>
    <w:rsid w:val="49924FE0"/>
    <w:rsid w:val="4AAC3C6C"/>
    <w:rsid w:val="4BE57974"/>
    <w:rsid w:val="4D1FED29"/>
    <w:rsid w:val="4DB82C49"/>
    <w:rsid w:val="4E3C637F"/>
    <w:rsid w:val="4F2F0D0F"/>
    <w:rsid w:val="509A2FFF"/>
    <w:rsid w:val="51C23892"/>
    <w:rsid w:val="541F2B8E"/>
    <w:rsid w:val="550F67E7"/>
    <w:rsid w:val="56222479"/>
    <w:rsid w:val="578F6397"/>
    <w:rsid w:val="57D13D26"/>
    <w:rsid w:val="584549ED"/>
    <w:rsid w:val="58524972"/>
    <w:rsid w:val="5997583F"/>
    <w:rsid w:val="5B943F9A"/>
    <w:rsid w:val="5B995C0A"/>
    <w:rsid w:val="5C4202EB"/>
    <w:rsid w:val="5CB3135E"/>
    <w:rsid w:val="5D274CFE"/>
    <w:rsid w:val="5DDEE617"/>
    <w:rsid w:val="5DF254FF"/>
    <w:rsid w:val="5EF07967"/>
    <w:rsid w:val="5FFDA3E8"/>
    <w:rsid w:val="60837BBC"/>
    <w:rsid w:val="61657933"/>
    <w:rsid w:val="63462372"/>
    <w:rsid w:val="63C56D2B"/>
    <w:rsid w:val="65F35146"/>
    <w:rsid w:val="66E765F7"/>
    <w:rsid w:val="68041736"/>
    <w:rsid w:val="68666E1E"/>
    <w:rsid w:val="69566797"/>
    <w:rsid w:val="6C67396E"/>
    <w:rsid w:val="6CA56093"/>
    <w:rsid w:val="6DFEC27C"/>
    <w:rsid w:val="6ECD017D"/>
    <w:rsid w:val="6EFFF0FD"/>
    <w:rsid w:val="6FAD2362"/>
    <w:rsid w:val="7031452D"/>
    <w:rsid w:val="70392AC8"/>
    <w:rsid w:val="75491A51"/>
    <w:rsid w:val="75FAE1A0"/>
    <w:rsid w:val="76FF7B94"/>
    <w:rsid w:val="775E9BF7"/>
    <w:rsid w:val="7766368A"/>
    <w:rsid w:val="79D32826"/>
    <w:rsid w:val="7B3373FB"/>
    <w:rsid w:val="7BC168A4"/>
    <w:rsid w:val="7BFC01F8"/>
    <w:rsid w:val="7BFEF307"/>
    <w:rsid w:val="7C0E09EB"/>
    <w:rsid w:val="7C5D75BC"/>
    <w:rsid w:val="7C852CB4"/>
    <w:rsid w:val="7D303A69"/>
    <w:rsid w:val="7D493D8B"/>
    <w:rsid w:val="7DEEC645"/>
    <w:rsid w:val="7E6C0EF6"/>
    <w:rsid w:val="7EBF03BA"/>
    <w:rsid w:val="7ED11617"/>
    <w:rsid w:val="7EF7B88C"/>
    <w:rsid w:val="7F3CC9EE"/>
    <w:rsid w:val="7F7FA546"/>
    <w:rsid w:val="7FAD3E86"/>
    <w:rsid w:val="7FCF35A9"/>
    <w:rsid w:val="7FDB11AA"/>
    <w:rsid w:val="7FDB85AD"/>
    <w:rsid w:val="7FDD0568"/>
    <w:rsid w:val="7FE60506"/>
    <w:rsid w:val="7FF5C1CA"/>
    <w:rsid w:val="7FFBE433"/>
    <w:rsid w:val="7FFFD639"/>
    <w:rsid w:val="997AF9C8"/>
    <w:rsid w:val="9F7FDCD9"/>
    <w:rsid w:val="B5FF8131"/>
    <w:rsid w:val="B6FE78DC"/>
    <w:rsid w:val="B7BFB542"/>
    <w:rsid w:val="B8EDE70E"/>
    <w:rsid w:val="BCD7A05A"/>
    <w:rsid w:val="BDFE845B"/>
    <w:rsid w:val="BF73F173"/>
    <w:rsid w:val="C4EF0E5C"/>
    <w:rsid w:val="C93F7D8C"/>
    <w:rsid w:val="CFF53E02"/>
    <w:rsid w:val="D39DE088"/>
    <w:rsid w:val="D4FD67FC"/>
    <w:rsid w:val="DCAFEB6A"/>
    <w:rsid w:val="DCBE5E95"/>
    <w:rsid w:val="DE1CE47B"/>
    <w:rsid w:val="DEF9BDB0"/>
    <w:rsid w:val="DF0F052A"/>
    <w:rsid w:val="DF3FFA02"/>
    <w:rsid w:val="E7FB7B4B"/>
    <w:rsid w:val="EBBF8D4B"/>
    <w:rsid w:val="EF2EA8A8"/>
    <w:rsid w:val="EFCC58F0"/>
    <w:rsid w:val="F6ED9201"/>
    <w:rsid w:val="F7BFC576"/>
    <w:rsid w:val="FB8612CA"/>
    <w:rsid w:val="FEEED4C2"/>
    <w:rsid w:val="FF7F98C6"/>
    <w:rsid w:val="FF97F267"/>
    <w:rsid w:val="FFC311DB"/>
    <w:rsid w:val="FFF3C306"/>
    <w:rsid w:val="FFF5B9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3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9"/>
    <w:semiHidden/>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50"/>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1">
    <w:name w:val="Default Paragraph Font"/>
    <w:semiHidden/>
    <w:unhideWhenUsed/>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ind w:firstLine="420" w:firstLineChars="200"/>
    </w:pPr>
    <w:rPr>
      <w:rFonts w:ascii="Times New Roman" w:hAnsi="Times New Roman" w:cs="等线"/>
    </w:rPr>
  </w:style>
  <w:style w:type="paragraph" w:styleId="7">
    <w:name w:val="annotation text"/>
    <w:basedOn w:val="1"/>
    <w:link w:val="62"/>
    <w:semiHidden/>
    <w:unhideWhenUsed/>
    <w:qFormat/>
    <w:uiPriority w:val="99"/>
    <w:pPr>
      <w:jc w:val="left"/>
    </w:pPr>
  </w:style>
  <w:style w:type="paragraph" w:styleId="8">
    <w:name w:val="Body Text"/>
    <w:basedOn w:val="1"/>
    <w:next w:val="1"/>
    <w:link w:val="32"/>
    <w:qFormat/>
    <w:uiPriority w:val="1"/>
    <w:pPr>
      <w:spacing w:line="560" w:lineRule="exact"/>
      <w:ind w:firstLine="640" w:firstLineChars="200"/>
    </w:pPr>
    <w:rPr>
      <w:rFonts w:ascii="仿宋_GB2312" w:hAnsi="仿宋_GB2312" w:eastAsia="仿宋_GB2312" w:cs="仿宋_GB2312"/>
      <w:sz w:val="32"/>
      <w:szCs w:val="32"/>
      <w:lang w:val="zh-CN" w:bidi="zh-CN"/>
    </w:rPr>
  </w:style>
  <w:style w:type="paragraph" w:styleId="9">
    <w:name w:val="Body Text Indent"/>
    <w:basedOn w:val="1"/>
    <w:link w:val="39"/>
    <w:semiHidden/>
    <w:unhideWhenUsed/>
    <w:qFormat/>
    <w:uiPriority w:val="99"/>
    <w:pPr>
      <w:spacing w:after="120"/>
      <w:ind w:left="420" w:leftChars="200"/>
    </w:pPr>
  </w:style>
  <w:style w:type="paragraph" w:styleId="10">
    <w:name w:val="Balloon Text"/>
    <w:basedOn w:val="1"/>
    <w:link w:val="28"/>
    <w:semiHidden/>
    <w:unhideWhenUsed/>
    <w:qFormat/>
    <w:uiPriority w:val="99"/>
    <w:rPr>
      <w:sz w:val="18"/>
      <w:szCs w:val="18"/>
    </w:rPr>
  </w:style>
  <w:style w:type="paragraph" w:styleId="11">
    <w:name w:val="footer"/>
    <w:basedOn w:val="1"/>
    <w:link w:val="26"/>
    <w:qFormat/>
    <w:uiPriority w:val="99"/>
    <w:pPr>
      <w:tabs>
        <w:tab w:val="center" w:pos="4153"/>
        <w:tab w:val="right" w:pos="8306"/>
      </w:tabs>
      <w:snapToGrid w:val="0"/>
      <w:jc w:val="left"/>
    </w:pPr>
    <w:rPr>
      <w:sz w:val="18"/>
    </w:rPr>
  </w:style>
  <w:style w:type="paragraph" w:styleId="12">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tabs>
        <w:tab w:val="right" w:leader="dot" w:pos="8494"/>
      </w:tabs>
      <w:spacing w:before="159" w:beforeLines="50" w:after="159" w:afterLines="50" w:line="560" w:lineRule="exact"/>
    </w:pPr>
    <w:rPr>
      <w:rFonts w:ascii="Times New Roman" w:hAnsi="Times New Roman" w:eastAsia="黑体"/>
      <w:b/>
      <w:bCs/>
      <w:sz w:val="30"/>
      <w:szCs w:val="30"/>
    </w:rPr>
  </w:style>
  <w:style w:type="paragraph" w:styleId="14">
    <w:name w:val="toc 2"/>
    <w:basedOn w:val="1"/>
    <w:next w:val="1"/>
    <w:unhideWhenUsed/>
    <w:qFormat/>
    <w:uiPriority w:val="39"/>
    <w:pPr>
      <w:ind w:left="420" w:leftChars="200"/>
    </w:pPr>
  </w:style>
  <w:style w:type="paragraph" w:styleId="1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6">
    <w:name w:val="annotation subject"/>
    <w:basedOn w:val="7"/>
    <w:next w:val="7"/>
    <w:link w:val="63"/>
    <w:semiHidden/>
    <w:unhideWhenUsed/>
    <w:qFormat/>
    <w:uiPriority w:val="99"/>
    <w:rPr>
      <w:b/>
      <w:bCs/>
    </w:rPr>
  </w:style>
  <w:style w:type="paragraph" w:styleId="17">
    <w:name w:val="Body Text First Indent"/>
    <w:basedOn w:val="8"/>
    <w:link w:val="41"/>
    <w:semiHidden/>
    <w:unhideWhenUsed/>
    <w:qFormat/>
    <w:uiPriority w:val="99"/>
    <w:pPr>
      <w:spacing w:after="120" w:line="240" w:lineRule="auto"/>
      <w:ind w:firstLine="420" w:firstLineChars="100"/>
    </w:pPr>
    <w:rPr>
      <w:rFonts w:ascii="Calibri" w:hAnsi="Calibri" w:eastAsia="宋体" w:cs="Times New Roman"/>
      <w:sz w:val="21"/>
      <w:szCs w:val="24"/>
      <w:lang w:val="en-US" w:bidi="ar-SA"/>
    </w:rPr>
  </w:style>
  <w:style w:type="paragraph" w:styleId="18">
    <w:name w:val="Body Text First Indent 2"/>
    <w:basedOn w:val="9"/>
    <w:link w:val="40"/>
    <w:semiHidden/>
    <w:unhideWhenUsed/>
    <w:qFormat/>
    <w:uiPriority w:val="99"/>
    <w:pPr>
      <w:ind w:firstLine="420" w:firstLineChars="200"/>
    </w:p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2">
    <w:name w:val="Strong"/>
    <w:basedOn w:val="21"/>
    <w:qFormat/>
    <w:uiPriority w:val="22"/>
    <w:rPr>
      <w:b/>
      <w:bCs/>
    </w:rPr>
  </w:style>
  <w:style w:type="character" w:styleId="23">
    <w:name w:val="page number"/>
    <w:basedOn w:val="21"/>
    <w:qFormat/>
    <w:uiPriority w:val="0"/>
  </w:style>
  <w:style w:type="character" w:styleId="24">
    <w:name w:val="Hyperlink"/>
    <w:basedOn w:val="21"/>
    <w:unhideWhenUsed/>
    <w:qFormat/>
    <w:uiPriority w:val="99"/>
    <w:rPr>
      <w:color w:val="0000FF" w:themeColor="hyperlink"/>
      <w:u w:val="single"/>
      <w14:textFill>
        <w14:solidFill>
          <w14:schemeClr w14:val="hlink"/>
        </w14:solidFill>
      </w14:textFill>
    </w:rPr>
  </w:style>
  <w:style w:type="character" w:styleId="25">
    <w:name w:val="annotation reference"/>
    <w:basedOn w:val="21"/>
    <w:semiHidden/>
    <w:unhideWhenUsed/>
    <w:qFormat/>
    <w:uiPriority w:val="99"/>
    <w:rPr>
      <w:sz w:val="21"/>
      <w:szCs w:val="21"/>
    </w:rPr>
  </w:style>
  <w:style w:type="character" w:customStyle="1" w:styleId="26">
    <w:name w:val="页脚 Char"/>
    <w:basedOn w:val="21"/>
    <w:link w:val="11"/>
    <w:qFormat/>
    <w:uiPriority w:val="99"/>
    <w:rPr>
      <w:rFonts w:ascii="Calibri" w:hAnsi="Calibri" w:eastAsia="宋体" w:cs="Times New Roman"/>
      <w:sz w:val="18"/>
      <w:szCs w:val="24"/>
    </w:rPr>
  </w:style>
  <w:style w:type="character" w:customStyle="1" w:styleId="27">
    <w:name w:val="页眉 Char"/>
    <w:basedOn w:val="21"/>
    <w:link w:val="12"/>
    <w:qFormat/>
    <w:uiPriority w:val="99"/>
    <w:rPr>
      <w:rFonts w:ascii="Calibri" w:hAnsi="Calibri" w:eastAsia="宋体" w:cs="Times New Roman"/>
      <w:sz w:val="18"/>
      <w:szCs w:val="18"/>
    </w:rPr>
  </w:style>
  <w:style w:type="character" w:customStyle="1" w:styleId="28">
    <w:name w:val="批注框文本 Char"/>
    <w:basedOn w:val="21"/>
    <w:link w:val="10"/>
    <w:semiHidden/>
    <w:qFormat/>
    <w:uiPriority w:val="99"/>
    <w:rPr>
      <w:rFonts w:ascii="Calibri" w:hAnsi="Calibri" w:eastAsia="宋体" w:cs="Times New Roman"/>
      <w:sz w:val="18"/>
      <w:szCs w:val="18"/>
    </w:rPr>
  </w:style>
  <w:style w:type="paragraph" w:styleId="29">
    <w:name w:val="List Paragraph"/>
    <w:basedOn w:val="1"/>
    <w:qFormat/>
    <w:uiPriority w:val="34"/>
    <w:pPr>
      <w:ind w:firstLine="420" w:firstLineChars="200"/>
    </w:pPr>
  </w:style>
  <w:style w:type="character" w:customStyle="1" w:styleId="30">
    <w:name w:val="标题 1 Char"/>
    <w:basedOn w:val="21"/>
    <w:link w:val="2"/>
    <w:qFormat/>
    <w:uiPriority w:val="9"/>
    <w:rPr>
      <w:rFonts w:ascii="Calibri" w:hAnsi="Calibri" w:eastAsia="宋体" w:cs="Times New Roman"/>
      <w:b/>
      <w:bCs/>
      <w:kern w:val="44"/>
      <w:sz w:val="44"/>
      <w:szCs w:val="44"/>
    </w:rPr>
  </w:style>
  <w:style w:type="character" w:customStyle="1" w:styleId="31">
    <w:name w:val="标题 2 Char"/>
    <w:basedOn w:val="21"/>
    <w:link w:val="3"/>
    <w:qFormat/>
    <w:uiPriority w:val="9"/>
    <w:rPr>
      <w:rFonts w:asciiTheme="majorHAnsi" w:hAnsiTheme="majorHAnsi" w:eastAsiaTheme="majorEastAsia" w:cstheme="majorBidi"/>
      <w:b/>
      <w:bCs/>
      <w:sz w:val="32"/>
      <w:szCs w:val="32"/>
    </w:rPr>
  </w:style>
  <w:style w:type="character" w:customStyle="1" w:styleId="32">
    <w:name w:val="正文文本 Char"/>
    <w:basedOn w:val="21"/>
    <w:link w:val="8"/>
    <w:qFormat/>
    <w:uiPriority w:val="1"/>
    <w:rPr>
      <w:rFonts w:ascii="仿宋_GB2312" w:hAnsi="仿宋_GB2312" w:eastAsia="仿宋_GB2312" w:cs="仿宋_GB2312"/>
      <w:sz w:val="32"/>
      <w:szCs w:val="32"/>
      <w:lang w:val="zh-CN" w:bidi="zh-CN"/>
    </w:rPr>
  </w:style>
  <w:style w:type="paragraph" w:customStyle="1" w:styleId="33">
    <w:name w:val="contentfo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4">
    <w:name w:val="未处理的提及1"/>
    <w:basedOn w:val="21"/>
    <w:semiHidden/>
    <w:unhideWhenUsed/>
    <w:qFormat/>
    <w:uiPriority w:val="99"/>
    <w:rPr>
      <w:color w:val="605E5C"/>
      <w:shd w:val="clear" w:color="auto" w:fill="E1DFDD"/>
    </w:rPr>
  </w:style>
  <w:style w:type="paragraph" w:customStyle="1" w:styleId="35">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36">
    <w:name w:val="html-tag"/>
    <w:basedOn w:val="21"/>
    <w:qFormat/>
    <w:uiPriority w:val="0"/>
  </w:style>
  <w:style w:type="character" w:customStyle="1" w:styleId="37">
    <w:name w:val="html-attribute-name"/>
    <w:basedOn w:val="21"/>
    <w:qFormat/>
    <w:uiPriority w:val="0"/>
  </w:style>
  <w:style w:type="character" w:customStyle="1" w:styleId="38">
    <w:name w:val="html-attribute-value"/>
    <w:basedOn w:val="21"/>
    <w:qFormat/>
    <w:uiPriority w:val="0"/>
  </w:style>
  <w:style w:type="character" w:customStyle="1" w:styleId="39">
    <w:name w:val="正文文本缩进 Char"/>
    <w:basedOn w:val="21"/>
    <w:link w:val="9"/>
    <w:semiHidden/>
    <w:qFormat/>
    <w:uiPriority w:val="99"/>
    <w:rPr>
      <w:rFonts w:ascii="Calibri" w:hAnsi="Calibri" w:eastAsia="宋体" w:cs="Times New Roman"/>
      <w:szCs w:val="24"/>
    </w:rPr>
  </w:style>
  <w:style w:type="character" w:customStyle="1" w:styleId="40">
    <w:name w:val="正文首行缩进 2 Char"/>
    <w:basedOn w:val="39"/>
    <w:link w:val="18"/>
    <w:semiHidden/>
    <w:qFormat/>
    <w:uiPriority w:val="99"/>
    <w:rPr>
      <w:rFonts w:ascii="Calibri" w:hAnsi="Calibri" w:eastAsia="宋体" w:cs="Times New Roman"/>
      <w:szCs w:val="24"/>
    </w:rPr>
  </w:style>
  <w:style w:type="character" w:customStyle="1" w:styleId="41">
    <w:name w:val="正文首行缩进 Char"/>
    <w:basedOn w:val="32"/>
    <w:link w:val="17"/>
    <w:semiHidden/>
    <w:qFormat/>
    <w:uiPriority w:val="99"/>
    <w:rPr>
      <w:rFonts w:ascii="Calibri" w:hAnsi="Calibri" w:eastAsia="宋体" w:cs="Times New Roman"/>
      <w:sz w:val="32"/>
      <w:szCs w:val="24"/>
      <w:lang w:val="zh-CN" w:bidi="zh-CN"/>
    </w:rPr>
  </w:style>
  <w:style w:type="paragraph" w:customStyle="1" w:styleId="42">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43">
    <w:name w:val="font41"/>
    <w:basedOn w:val="21"/>
    <w:qFormat/>
    <w:uiPriority w:val="0"/>
    <w:rPr>
      <w:rFonts w:hint="eastAsia" w:ascii="仿宋_GB2312" w:eastAsia="仿宋_GB2312" w:cs="仿宋_GB2312"/>
      <w:color w:val="FF0000"/>
      <w:sz w:val="22"/>
      <w:szCs w:val="22"/>
      <w:u w:val="none"/>
    </w:rPr>
  </w:style>
  <w:style w:type="character" w:customStyle="1" w:styleId="44">
    <w:name w:val="font21"/>
    <w:basedOn w:val="21"/>
    <w:qFormat/>
    <w:uiPriority w:val="0"/>
    <w:rPr>
      <w:rFonts w:ascii="仿宋_GB2312" w:eastAsia="仿宋_GB2312" w:cs="仿宋_GB2312"/>
      <w:color w:val="000000"/>
      <w:sz w:val="22"/>
      <w:szCs w:val="22"/>
      <w:u w:val="none"/>
    </w:rPr>
  </w:style>
  <w:style w:type="character" w:customStyle="1" w:styleId="45">
    <w:name w:val="font31"/>
    <w:basedOn w:val="21"/>
    <w:qFormat/>
    <w:uiPriority w:val="0"/>
    <w:rPr>
      <w:rFonts w:hint="default" w:ascii="Times New Roman" w:hAnsi="Times New Roman" w:cs="Times New Roman"/>
      <w:color w:val="FF0000"/>
      <w:sz w:val="22"/>
      <w:szCs w:val="22"/>
      <w:u w:val="none"/>
    </w:rPr>
  </w:style>
  <w:style w:type="character" w:customStyle="1" w:styleId="46">
    <w:name w:val="font61"/>
    <w:basedOn w:val="21"/>
    <w:qFormat/>
    <w:uiPriority w:val="0"/>
    <w:rPr>
      <w:rFonts w:hint="eastAsia" w:ascii="宋体" w:hAnsi="宋体" w:eastAsia="宋体" w:cs="宋体"/>
      <w:color w:val="FF0000"/>
      <w:sz w:val="22"/>
      <w:szCs w:val="22"/>
      <w:u w:val="none"/>
    </w:rPr>
  </w:style>
  <w:style w:type="character" w:customStyle="1" w:styleId="47">
    <w:name w:val="font01"/>
    <w:basedOn w:val="21"/>
    <w:qFormat/>
    <w:uiPriority w:val="0"/>
    <w:rPr>
      <w:rFonts w:ascii="仿宋_GB2312" w:eastAsia="仿宋_GB2312" w:cs="仿宋_GB2312"/>
      <w:color w:val="000000"/>
      <w:sz w:val="20"/>
      <w:szCs w:val="20"/>
      <w:u w:val="none"/>
    </w:rPr>
  </w:style>
  <w:style w:type="character" w:customStyle="1" w:styleId="48">
    <w:name w:val="font81"/>
    <w:basedOn w:val="21"/>
    <w:qFormat/>
    <w:uiPriority w:val="0"/>
    <w:rPr>
      <w:rFonts w:hint="default" w:ascii="Times New Roman" w:hAnsi="Times New Roman" w:cs="Times New Roman"/>
      <w:color w:val="00B050"/>
      <w:sz w:val="22"/>
      <w:szCs w:val="22"/>
      <w:u w:val="none"/>
    </w:rPr>
  </w:style>
  <w:style w:type="character" w:customStyle="1" w:styleId="49">
    <w:name w:val="标题 3 Char"/>
    <w:basedOn w:val="21"/>
    <w:link w:val="4"/>
    <w:semiHidden/>
    <w:qFormat/>
    <w:uiPriority w:val="9"/>
    <w:rPr>
      <w:rFonts w:ascii="Calibri" w:hAnsi="Calibri" w:eastAsia="宋体" w:cs="Times New Roman"/>
      <w:b/>
      <w:bCs/>
      <w:sz w:val="32"/>
      <w:szCs w:val="32"/>
    </w:rPr>
  </w:style>
  <w:style w:type="character" w:customStyle="1" w:styleId="50">
    <w:name w:val="标题 4 Char"/>
    <w:basedOn w:val="21"/>
    <w:link w:val="5"/>
    <w:semiHidden/>
    <w:qFormat/>
    <w:uiPriority w:val="9"/>
    <w:rPr>
      <w:rFonts w:asciiTheme="majorHAnsi" w:hAnsiTheme="majorHAnsi" w:eastAsiaTheme="majorEastAsia" w:cstheme="majorBidi"/>
      <w:b/>
      <w:bCs/>
      <w:sz w:val="28"/>
      <w:szCs w:val="28"/>
    </w:rPr>
  </w:style>
  <w:style w:type="paragraph" w:customStyle="1" w:styleId="51">
    <w:name w:val="缩进正文"/>
    <w:basedOn w:val="1"/>
    <w:link w:val="52"/>
    <w:qFormat/>
    <w:uiPriority w:val="0"/>
    <w:pPr>
      <w:spacing w:line="600" w:lineRule="exact"/>
      <w:ind w:firstLine="200" w:firstLineChars="200"/>
    </w:pPr>
    <w:rPr>
      <w:rFonts w:ascii="宋体" w:hAnsi="宋体" w:eastAsia="仿宋" w:cstheme="minorBidi"/>
      <w:sz w:val="32"/>
    </w:rPr>
  </w:style>
  <w:style w:type="character" w:customStyle="1" w:styleId="52">
    <w:name w:val="缩进正文 Char"/>
    <w:link w:val="51"/>
    <w:qFormat/>
    <w:uiPriority w:val="0"/>
    <w:rPr>
      <w:rFonts w:ascii="宋体" w:hAnsi="宋体" w:eastAsia="仿宋"/>
      <w:sz w:val="32"/>
      <w:szCs w:val="24"/>
    </w:rPr>
  </w:style>
  <w:style w:type="character" w:customStyle="1" w:styleId="53">
    <w:name w:val="ds-markdown-cite"/>
    <w:basedOn w:val="21"/>
    <w:qFormat/>
    <w:uiPriority w:val="0"/>
  </w:style>
  <w:style w:type="paragraph" w:customStyle="1" w:styleId="54">
    <w:name w:val="正文1"/>
    <w:qFormat/>
    <w:uiPriority w:val="0"/>
    <w:pPr>
      <w:jc w:val="both"/>
    </w:pPr>
    <w:rPr>
      <w:rFonts w:ascii="仿宋_GB2312" w:hAnsi="宋体" w:eastAsia="宋体" w:cs="宋体"/>
      <w:kern w:val="2"/>
      <w:sz w:val="21"/>
      <w:szCs w:val="21"/>
      <w:lang w:val="en-US" w:eastAsia="zh-CN" w:bidi="ar-SA"/>
    </w:rPr>
  </w:style>
  <w:style w:type="character" w:customStyle="1" w:styleId="55">
    <w:name w:val="font11"/>
    <w:basedOn w:val="21"/>
    <w:qFormat/>
    <w:uiPriority w:val="0"/>
    <w:rPr>
      <w:rFonts w:hint="eastAsia" w:ascii="仿宋_GB2312" w:eastAsia="仿宋_GB2312" w:cs="仿宋_GB2312"/>
      <w:b/>
      <w:bCs/>
      <w:color w:val="000000"/>
      <w:sz w:val="20"/>
      <w:szCs w:val="20"/>
      <w:u w:val="none"/>
    </w:rPr>
  </w:style>
  <w:style w:type="character" w:customStyle="1" w:styleId="56">
    <w:name w:val="font51"/>
    <w:basedOn w:val="21"/>
    <w:qFormat/>
    <w:uiPriority w:val="0"/>
    <w:rPr>
      <w:rFonts w:hint="eastAsia" w:ascii="宋体" w:hAnsi="宋体" w:eastAsia="宋体" w:cs="宋体"/>
      <w:color w:val="000000"/>
      <w:sz w:val="21"/>
      <w:szCs w:val="21"/>
      <w:u w:val="none"/>
    </w:rPr>
  </w:style>
  <w:style w:type="paragraph" w:customStyle="1" w:styleId="57">
    <w:name w:val="Heading #2|1"/>
    <w:basedOn w:val="1"/>
    <w:qFormat/>
    <w:uiPriority w:val="0"/>
    <w:pPr>
      <w:spacing w:after="690" w:line="601" w:lineRule="exact"/>
      <w:jc w:val="center"/>
      <w:outlineLvl w:val="1"/>
    </w:pPr>
    <w:rPr>
      <w:rFonts w:ascii="宋体" w:hAnsi="宋体" w:cs="宋体"/>
      <w:sz w:val="42"/>
      <w:szCs w:val="42"/>
      <w:lang w:val="zh-TW" w:eastAsia="zh-TW" w:bidi="zh-TW"/>
    </w:rPr>
  </w:style>
  <w:style w:type="paragraph" w:customStyle="1" w:styleId="58">
    <w:name w:val="文章附标题"/>
    <w:basedOn w:val="1"/>
    <w:next w:val="2"/>
    <w:qFormat/>
    <w:uiPriority w:val="0"/>
    <w:pPr>
      <w:spacing w:before="104" w:after="104" w:line="0" w:lineRule="atLeast"/>
      <w:jc w:val="center"/>
    </w:pPr>
    <w:rPr>
      <w:sz w:val="36"/>
    </w:rPr>
  </w:style>
  <w:style w:type="paragraph" w:customStyle="1" w:styleId="59">
    <w:name w:val="修订1"/>
    <w:hidden/>
    <w:unhideWhenUsed/>
    <w:qFormat/>
    <w:uiPriority w:val="99"/>
    <w:rPr>
      <w:rFonts w:ascii="Calibri" w:hAnsi="Calibri" w:eastAsia="宋体" w:cs="Times New Roman"/>
      <w:kern w:val="2"/>
      <w:sz w:val="21"/>
      <w:szCs w:val="24"/>
      <w:lang w:val="en-US" w:eastAsia="zh-CN" w:bidi="ar-SA"/>
    </w:rPr>
  </w:style>
  <w:style w:type="table" w:customStyle="1" w:styleId="60">
    <w:name w:val="Table Normal"/>
    <w:semiHidden/>
    <w:unhideWhenUsed/>
    <w:qFormat/>
    <w:uiPriority w:val="0"/>
    <w:tblPr>
      <w:tblCellMar>
        <w:top w:w="0" w:type="dxa"/>
        <w:left w:w="0" w:type="dxa"/>
        <w:bottom w:w="0" w:type="dxa"/>
        <w:right w:w="0" w:type="dxa"/>
      </w:tblCellMar>
    </w:tblPr>
  </w:style>
  <w:style w:type="paragraph" w:customStyle="1" w:styleId="61">
    <w:name w:val="修订2"/>
    <w:hidden/>
    <w:unhideWhenUsed/>
    <w:qFormat/>
    <w:uiPriority w:val="99"/>
    <w:rPr>
      <w:rFonts w:ascii="Calibri" w:hAnsi="Calibri" w:eastAsia="宋体" w:cs="Times New Roman"/>
      <w:kern w:val="2"/>
      <w:sz w:val="21"/>
      <w:szCs w:val="24"/>
      <w:lang w:val="en-US" w:eastAsia="zh-CN" w:bidi="ar-SA"/>
    </w:rPr>
  </w:style>
  <w:style w:type="character" w:customStyle="1" w:styleId="62">
    <w:name w:val="批注文字 Char"/>
    <w:basedOn w:val="21"/>
    <w:link w:val="7"/>
    <w:semiHidden/>
    <w:qFormat/>
    <w:uiPriority w:val="99"/>
    <w:rPr>
      <w:rFonts w:ascii="Calibri" w:hAnsi="Calibri"/>
      <w:kern w:val="2"/>
      <w:sz w:val="21"/>
      <w:szCs w:val="24"/>
    </w:rPr>
  </w:style>
  <w:style w:type="character" w:customStyle="1" w:styleId="63">
    <w:name w:val="批注主题 Char"/>
    <w:basedOn w:val="62"/>
    <w:link w:val="16"/>
    <w:semiHidden/>
    <w:qFormat/>
    <w:uiPriority w:val="99"/>
    <w:rPr>
      <w:rFonts w:ascii="Calibri" w:hAnsi="Calibri"/>
      <w:b/>
      <w:bCs/>
      <w:kern w:val="2"/>
      <w:sz w:val="21"/>
      <w:szCs w:val="24"/>
    </w:rPr>
  </w:style>
  <w:style w:type="paragraph" w:customStyle="1" w:styleId="64">
    <w:name w:val="修订3"/>
    <w:hidden/>
    <w:unhideWhenUsed/>
    <w:qFormat/>
    <w:uiPriority w:val="99"/>
    <w:rPr>
      <w:rFonts w:ascii="Calibri" w:hAnsi="Calibri" w:eastAsia="宋体" w:cs="Times New Roman"/>
      <w:kern w:val="2"/>
      <w:sz w:val="21"/>
      <w:szCs w:val="24"/>
      <w:lang w:val="en-US" w:eastAsia="zh-CN" w:bidi="ar-SA"/>
    </w:rPr>
  </w:style>
  <w:style w:type="paragraph" w:customStyle="1" w:styleId="65">
    <w:name w:val="修订4"/>
    <w:hidden/>
    <w:unhideWhenUsed/>
    <w:qFormat/>
    <w:uiPriority w:val="99"/>
    <w:rPr>
      <w:rFonts w:ascii="Calibri" w:hAnsi="Calibri" w:eastAsia="宋体" w:cs="Times New Roman"/>
      <w:kern w:val="2"/>
      <w:sz w:val="21"/>
      <w:szCs w:val="24"/>
      <w:lang w:val="en-US" w:eastAsia="zh-CN" w:bidi="ar-SA"/>
    </w:rPr>
  </w:style>
  <w:style w:type="paragraph" w:customStyle="1" w:styleId="66">
    <w:name w:val="修订5"/>
    <w:hidden/>
    <w:unhideWhenUsed/>
    <w:qFormat/>
    <w:uiPriority w:val="99"/>
    <w:rPr>
      <w:rFonts w:ascii="Calibri" w:hAnsi="Calibri" w:eastAsia="宋体" w:cs="Times New Roman"/>
      <w:kern w:val="2"/>
      <w:sz w:val="21"/>
      <w:szCs w:val="24"/>
      <w:lang w:val="en-US" w:eastAsia="zh-CN" w:bidi="ar-SA"/>
    </w:rPr>
  </w:style>
  <w:style w:type="paragraph" w:customStyle="1" w:styleId="67">
    <w:name w:val="标准文件_段"/>
    <w:link w:val="68"/>
    <w:qFormat/>
    <w:uiPriority w:val="0"/>
    <w:pPr>
      <w:widowControl w:val="0"/>
      <w:autoSpaceDE w:val="0"/>
      <w:autoSpaceDN w:val="0"/>
      <w:ind w:firstLine="420" w:firstLineChars="200"/>
      <w:jc w:val="both"/>
    </w:pPr>
    <w:rPr>
      <w:rFonts w:ascii="宋体" w:hAnsi="Times New Roman" w:eastAsia="宋体" w:cs="Times New Roman"/>
      <w:color w:val="000000" w:themeColor="text1"/>
      <w:sz w:val="21"/>
      <w:szCs w:val="21"/>
      <w:lang w:val="en-US" w:eastAsia="zh-CN" w:bidi="ar-SA"/>
      <w14:textFill>
        <w14:solidFill>
          <w14:schemeClr w14:val="tx1"/>
        </w14:solidFill>
      </w14:textFill>
    </w:rPr>
  </w:style>
  <w:style w:type="character" w:customStyle="1" w:styleId="68">
    <w:name w:val="标准文件_段 Char"/>
    <w:link w:val="67"/>
    <w:qFormat/>
    <w:uiPriority w:val="0"/>
    <w:rPr>
      <w:rFonts w:ascii="宋体"/>
      <w:color w:val="000000" w:themeColor="text1"/>
      <w:sz w:val="21"/>
      <w:szCs w:val="21"/>
      <w14:textFill>
        <w14:solidFill>
          <w14:schemeClr w14:val="tx1"/>
        </w14:solidFill>
      </w14:textFill>
    </w:rPr>
  </w:style>
  <w:style w:type="paragraph" w:customStyle="1" w:styleId="69">
    <w:name w:val="章标题"/>
    <w:next w:val="1"/>
    <w:qFormat/>
    <w:uiPriority w:val="0"/>
    <w:pPr>
      <w:numPr>
        <w:ilvl w:val="0"/>
        <w:numId w:val="1"/>
      </w:numPr>
      <w:spacing w:beforeLines="100" w:afterLines="100"/>
      <w:jc w:val="both"/>
      <w:outlineLvl w:val="1"/>
    </w:pPr>
    <w:rPr>
      <w:rFonts w:ascii="黑体" w:hAnsi="Times New Roman" w:eastAsia="黑体" w:cs="Times New Roman"/>
      <w:sz w:val="21"/>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MS</Company>
  <Pages>8</Pages>
  <Words>3974</Words>
  <Characters>4002</Characters>
  <Lines>28</Lines>
  <Paragraphs>8</Paragraphs>
  <TotalTime>1</TotalTime>
  <ScaleCrop>false</ScaleCrop>
  <LinksUpToDate>false</LinksUpToDate>
  <CharactersWithSpaces>4005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2025-08-26T06:38:00Z</dcterms:created>
  <dc:creator>lenovo</dc:creator>
  <cp:lastModifiedBy>爱妃</cp:lastModifiedBy>
  <cp:lastPrinted>2025-08-26T04:03:00Z</cp:lastPrinted>
  <dcterms:modified xsi:type="dcterms:W3CDTF">2025-08-26T08:21:40Z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eyJoZGlkIjoiNTU0ZmIwYTQ3NzlmZGUxZmU3Zjk0M2IyZTNmM2IxNjAiLCJ1c2VySWQiOiIyODM2Mjk0NzgifQ==</vt:lpwstr>
  </property>
  <property fmtid="{D5CDD505-2E9C-101B-9397-08002B2CF9AE}" pid="3" name="KSOProductBuildVer">
    <vt:lpwstr>2052-12.1.0.22529</vt:lpwstr>
  </property>
  <property fmtid="{D5CDD505-2E9C-101B-9397-08002B2CF9AE}" pid="4" name="ICV">
    <vt:lpwstr>B8384EA465A746A797C3838A47C92F12_13</vt:lpwstr>
  </property>
</Properties>
</file>